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159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鼓楼生态环境局三方询价通知书（二）</w:t>
      </w:r>
    </w:p>
    <w:p w14:paraId="77C009D5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各有关单位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 w14:paraId="5764E54B"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我局拟于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月开展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  <w:u w:val="single"/>
        </w:rPr>
        <w:t>南京市长江夹江北河口水源地202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  <w:u w:val="single"/>
        </w:rPr>
        <w:t>年环境状况评估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项目的采购工作（具体采购需求见附件）。请贵单位在接到此通知后，于2026年6月18日18:00前做出合理的报价，并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将报价材料（一份）密封寄或送至我单位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3F28701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A59414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联系人：刘春捷</w:t>
      </w:r>
    </w:p>
    <w:p w14:paraId="1D75FCE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电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方正仿宋_GBK" w:eastAsia="方正仿宋_GBK" w:cs="Times New Roman"/>
          <w:sz w:val="32"/>
          <w:szCs w:val="32"/>
        </w:rPr>
        <w:t>话：</w:t>
      </w:r>
      <w:r>
        <w:rPr>
          <w:rFonts w:ascii="Times New Roman" w:hAnsi="Times New Roman" w:eastAsia="方正仿宋_GBK" w:cs="Times New Roman"/>
          <w:sz w:val="32"/>
          <w:szCs w:val="32"/>
        </w:rPr>
        <w:t>18951658275</w:t>
      </w:r>
    </w:p>
    <w:p w14:paraId="15E76EED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邮寄地址：南京市鼓楼区姜家园22号</w:t>
      </w:r>
    </w:p>
    <w:p w14:paraId="7E068233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4519539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2AB08EF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90B16C3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南京市鼓楼生态环境局</w:t>
      </w:r>
    </w:p>
    <w:p w14:paraId="115E268B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2026年6月10日</w:t>
      </w:r>
    </w:p>
    <w:p w14:paraId="6A85333D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br w:type="page"/>
      </w:r>
    </w:p>
    <w:p w14:paraId="598B0CDB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附件1：</w:t>
      </w:r>
    </w:p>
    <w:p w14:paraId="5615CC06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  <w:u w:val="single"/>
        </w:rPr>
        <w:t>南京市长江夹江北河口水源地202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  <w:u w:val="single"/>
        </w:rPr>
        <w:t>年环境状况评估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项目采购需求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0ED3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2BB8ED4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4E1D6EB6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南京市长江夹江北河口水源地202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年环境状况评估</w:t>
            </w:r>
          </w:p>
        </w:tc>
      </w:tr>
      <w:tr w14:paraId="51C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5E2D9113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65BB2FE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万元</w:t>
            </w:r>
          </w:p>
        </w:tc>
      </w:tr>
      <w:tr w14:paraId="1029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E304E7F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1CB5A90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2026年10月31日</w:t>
            </w:r>
          </w:p>
        </w:tc>
      </w:tr>
      <w:tr w14:paraId="3A16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vAlign w:val="center"/>
          </w:tcPr>
          <w:p w14:paraId="017D7CD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585" w:type="dxa"/>
            <w:vAlign w:val="top"/>
          </w:tcPr>
          <w:p w14:paraId="33816DB6">
            <w:pPr>
              <w:wordWrap w:val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采购需求须包含（但不限）以下内容：</w:t>
            </w:r>
          </w:p>
          <w:p w14:paraId="2CA16591">
            <w:pPr>
              <w:spacing w:line="560" w:lineRule="exact"/>
              <w:ind w:firstLine="600" w:firstLineChars="200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为进一步加强鼓楼区集中式饮用水水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</w:rPr>
              <w:t>源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  <w:lang w:val="en-US" w:eastAsia="zh-CN"/>
              </w:rPr>
              <w:t>地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环境管理水平，保障城市生活饮用水水源安全，按照《集中式饮用水水源地环境保护状况评估技术规范》（HJ 774-2015）要求，开展南京市长江夹江北河口水源地202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年环境状况评估工作。通过开展集中式饮用水水源地环境状况评估工作，及时更新长江夹江北河口水源地的水质状况、保护区划定情况、污染源整治情况等主要环境信息，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  <w:lang w:val="en-US" w:eastAsia="zh-CN"/>
              </w:rPr>
              <w:t>梳理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</w:rPr>
              <w:t>长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江夹江北河口水源地环境保护工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  <w:lang w:eastAsia="zh-CN"/>
              </w:rPr>
              <w:t>作中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存在的问题，提出相应的措施和对策。</w:t>
            </w:r>
          </w:p>
        </w:tc>
      </w:tr>
      <w:tr w14:paraId="140F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6C197589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3877EBB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综合评分法</w:t>
            </w:r>
          </w:p>
        </w:tc>
      </w:tr>
      <w:tr w14:paraId="1633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0F2C9DF7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6585" w:type="dxa"/>
            <w:vAlign w:val="center"/>
          </w:tcPr>
          <w:p w14:paraId="584AEDE5">
            <w:pPr>
              <w:wordWrap w:val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747C938E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31BAABF">
      <w:pPr>
        <w:pStyle w:val="2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附件2：</w:t>
      </w:r>
    </w:p>
    <w:p w14:paraId="4CB6CEAC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 分 标 准</w:t>
      </w:r>
    </w:p>
    <w:p w14:paraId="2079B24D"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3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85"/>
        <w:gridCol w:w="6194"/>
      </w:tblGrid>
      <w:tr w14:paraId="5CA7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pct"/>
            <w:noWrap w:val="0"/>
            <w:vAlign w:val="center"/>
          </w:tcPr>
          <w:p w14:paraId="19C05180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738" w:type="pct"/>
            <w:noWrap w:val="0"/>
            <w:vAlign w:val="center"/>
          </w:tcPr>
          <w:p w14:paraId="33A7148F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评审分项</w:t>
            </w:r>
          </w:p>
        </w:tc>
        <w:tc>
          <w:tcPr>
            <w:tcW w:w="3557" w:type="pct"/>
            <w:noWrap w:val="0"/>
            <w:vAlign w:val="center"/>
          </w:tcPr>
          <w:p w14:paraId="6BCCE705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评审内容及分值</w:t>
            </w:r>
          </w:p>
        </w:tc>
      </w:tr>
      <w:tr w14:paraId="2116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03" w:type="pct"/>
            <w:noWrap w:val="0"/>
            <w:vAlign w:val="center"/>
          </w:tcPr>
          <w:p w14:paraId="06B3E8E1">
            <w:pPr>
              <w:widowControl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投标报价</w:t>
            </w:r>
          </w:p>
          <w:p w14:paraId="2F5AD883">
            <w:pPr>
              <w:widowControl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738" w:type="pct"/>
            <w:noWrap w:val="0"/>
            <w:vAlign w:val="center"/>
          </w:tcPr>
          <w:p w14:paraId="3ACECF88">
            <w:pPr>
              <w:widowControl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报价</w:t>
            </w:r>
          </w:p>
          <w:p w14:paraId="4CF9E46D">
            <w:pPr>
              <w:widowControl/>
              <w:jc w:val="center"/>
              <w:rPr>
                <w:rFonts w:hint="eastAsia" w:ascii="宋体" w:hAnsi="宋体" w:cs="仿宋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7" w:type="pct"/>
            <w:noWrap w:val="0"/>
            <w:vAlign w:val="center"/>
          </w:tcPr>
          <w:p w14:paraId="27C9C7CA">
            <w:pPr>
              <w:widowControl/>
              <w:jc w:val="left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采用低价优先法计算，即满足招标文件要求且投标价格最低的投标报价为评标基准价，其价格分为满分。其他投标人的价格分统一按照下列公式计算：投标报价得分=(评标基准价/投标报价</w:t>
            </w:r>
            <w:bookmarkStart w:id="0" w:name="_GoBack"/>
            <w:r>
              <w:rPr>
                <w:rFonts w:hint="eastAsia" w:ascii="宋体" w:hAnsi="宋体" w:cs="仿宋"/>
                <w:sz w:val="24"/>
                <w:szCs w:val="24"/>
              </w:rPr>
              <w:t>)</w:t>
            </w:r>
            <w:bookmarkEnd w:id="0"/>
            <w:r>
              <w:rPr>
                <w:rFonts w:hint="eastAsia" w:ascii="宋体" w:hAnsi="宋体" w:cs="仿宋"/>
                <w:sz w:val="24"/>
                <w:szCs w:val="24"/>
              </w:rPr>
              <w:t>x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分。（该结果四舍五入，保留两位小数）</w:t>
            </w:r>
          </w:p>
        </w:tc>
      </w:tr>
      <w:tr w14:paraId="7B9C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 w14:paraId="4044BF72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商务部分</w:t>
            </w:r>
          </w:p>
          <w:p w14:paraId="26662906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738" w:type="pct"/>
            <w:noWrap w:val="0"/>
            <w:vAlign w:val="center"/>
          </w:tcPr>
          <w:p w14:paraId="3778E812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业绩</w:t>
            </w:r>
          </w:p>
          <w:p w14:paraId="3BB94F9B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7" w:type="pct"/>
            <w:noWrap w:val="0"/>
            <w:vAlign w:val="center"/>
          </w:tcPr>
          <w:p w14:paraId="2B228028">
            <w:pPr>
              <w:contextualSpacing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投标人自202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年1月1日以来</w:t>
            </w:r>
            <w:r>
              <w:rPr>
                <w:rFonts w:hint="eastAsia" w:ascii="宋体" w:hAnsi="宋体"/>
                <w:sz w:val="24"/>
              </w:rPr>
              <w:t>（以合同签订时间为准）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承担过类似业绩的，每提供一个得3分，本项最高得15分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3624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 w14:paraId="6C1F01B2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 w14:paraId="4AE54D54">
            <w:pPr>
              <w:widowControl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人员配备</w:t>
            </w: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3557" w:type="pct"/>
            <w:noWrap w:val="0"/>
            <w:vAlign w:val="center"/>
          </w:tcPr>
          <w:p w14:paraId="58BB3F7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供应商拟投入团队核心人员总数不得少于3人，项目的核心团队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人员中：持有环境保护类高级及以上技术职称的，每有1人加5分；具备环境保护类中级及以上技术职称的，每有1人加2分，本项最高得20分。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提供人员名单和近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个月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任意一个月的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缴纳证明）</w:t>
            </w:r>
          </w:p>
        </w:tc>
      </w:tr>
      <w:tr w14:paraId="61E6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 w14:paraId="40251E4F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方案部分（45分）</w:t>
            </w:r>
          </w:p>
        </w:tc>
        <w:tc>
          <w:tcPr>
            <w:tcW w:w="738" w:type="pct"/>
            <w:vMerge w:val="restart"/>
            <w:noWrap w:val="0"/>
            <w:vAlign w:val="center"/>
          </w:tcPr>
          <w:p w14:paraId="4C9E3AB7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技术方案</w:t>
            </w:r>
          </w:p>
          <w:p w14:paraId="5068B1D2">
            <w:pPr>
              <w:jc w:val="center"/>
              <w:rPr>
                <w:rFonts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（4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  <w:p w14:paraId="5872B4BF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557" w:type="pct"/>
            <w:noWrap w:val="0"/>
            <w:vAlign w:val="center"/>
          </w:tcPr>
          <w:p w14:paraId="48DDEAE2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评委根据供应商提供的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详细完整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合理且可操作性最优得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较详细完整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较合理且可操作性较强得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方案内容一般，合理性一般，可操作性一般得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不提供不得分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7C9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 w14:paraId="2EF1E68A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738" w:type="pct"/>
            <w:vMerge w:val="continue"/>
            <w:noWrap w:val="0"/>
            <w:vAlign w:val="center"/>
          </w:tcPr>
          <w:p w14:paraId="28D3BFA3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557" w:type="pct"/>
            <w:noWrap w:val="0"/>
            <w:vAlign w:val="center"/>
          </w:tcPr>
          <w:p w14:paraId="2555BC1B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评委根据供应商对本项目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质量的保证措施、进度计划、服务承诺进行评分，保证措施及服务承诺有针对性且可行性强得1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分；保证措施及服务承诺较有针对性且可行性较强得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保证措施及服务承诺一般且可行性一般得9分；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保证措施及服务承诺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基本有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针对性且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可行得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保证措施及服务承诺针对性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较差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且可行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不提供不得分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1C3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3" w:type="pct"/>
            <w:noWrap w:val="0"/>
            <w:vAlign w:val="center"/>
          </w:tcPr>
          <w:p w14:paraId="3FE6BC65">
            <w:pPr>
              <w:widowControl/>
              <w:jc w:val="center"/>
              <w:rPr>
                <w:rFonts w:hint="eastAsia" w:ascii="宋体" w:hAnsi="宋体" w:cs="仿宋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38" w:type="pct"/>
            <w:noWrap w:val="0"/>
            <w:vAlign w:val="center"/>
          </w:tcPr>
          <w:p w14:paraId="46C7D8F2">
            <w:pPr>
              <w:widowControl/>
              <w:jc w:val="center"/>
              <w:rPr>
                <w:rFonts w:hint="default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3557" w:type="pct"/>
            <w:noWrap w:val="0"/>
            <w:vAlign w:val="center"/>
          </w:tcPr>
          <w:p w14:paraId="06703D8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</w:p>
        </w:tc>
      </w:tr>
    </w:tbl>
    <w:p w14:paraId="7F334210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26003A03"/>
    <w:rsid w:val="01474EA6"/>
    <w:rsid w:val="01967DCC"/>
    <w:rsid w:val="05E14180"/>
    <w:rsid w:val="09AD638D"/>
    <w:rsid w:val="0C090D57"/>
    <w:rsid w:val="0CAD5BD8"/>
    <w:rsid w:val="0F606F1E"/>
    <w:rsid w:val="0FCC4A13"/>
    <w:rsid w:val="10A81C60"/>
    <w:rsid w:val="15680970"/>
    <w:rsid w:val="177906DA"/>
    <w:rsid w:val="185145F5"/>
    <w:rsid w:val="19601E2E"/>
    <w:rsid w:val="19C332D1"/>
    <w:rsid w:val="1A483ED0"/>
    <w:rsid w:val="1DE2095E"/>
    <w:rsid w:val="1FDB07DC"/>
    <w:rsid w:val="26003A03"/>
    <w:rsid w:val="2920604A"/>
    <w:rsid w:val="2BD40774"/>
    <w:rsid w:val="2C917C2E"/>
    <w:rsid w:val="2CF27CFD"/>
    <w:rsid w:val="2D297497"/>
    <w:rsid w:val="320F3F8B"/>
    <w:rsid w:val="38653178"/>
    <w:rsid w:val="3BC66F24"/>
    <w:rsid w:val="3D4F48E6"/>
    <w:rsid w:val="3E2A35B8"/>
    <w:rsid w:val="3EB76FF8"/>
    <w:rsid w:val="3F2346E2"/>
    <w:rsid w:val="42516195"/>
    <w:rsid w:val="42EA174A"/>
    <w:rsid w:val="45C51FFB"/>
    <w:rsid w:val="4AFD2237"/>
    <w:rsid w:val="557B26D6"/>
    <w:rsid w:val="55C951EF"/>
    <w:rsid w:val="56DC0F52"/>
    <w:rsid w:val="58FE79A2"/>
    <w:rsid w:val="5B487C04"/>
    <w:rsid w:val="5D1407F2"/>
    <w:rsid w:val="63073253"/>
    <w:rsid w:val="63C95BFC"/>
    <w:rsid w:val="643C1282"/>
    <w:rsid w:val="64D550CB"/>
    <w:rsid w:val="69B53FB1"/>
    <w:rsid w:val="6AB133CD"/>
    <w:rsid w:val="6AF01018"/>
    <w:rsid w:val="6BE75F78"/>
    <w:rsid w:val="6E9547E3"/>
    <w:rsid w:val="6FE45913"/>
    <w:rsid w:val="6FF45107"/>
    <w:rsid w:val="74E26E5B"/>
    <w:rsid w:val="751232F6"/>
    <w:rsid w:val="792F7F4F"/>
    <w:rsid w:val="7C600BDA"/>
    <w:rsid w:val="7F3217A8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92445da0-c08e-4981-8021-dede15b767b0</errorID>
      <errorWord>管理水平</errorWord>
      <group>L1_Grammar</group>
      <groupName>语法问题</groupName>
      <ability>L2_Collocation</ability>
      <abilityName>搭配不当</abilityName>
      <candidateList>
        <item>保护</item>
      </candidateList>
      <explain>句子中可能存在主谓、动宾、定语中心语、状语中心语、补语中心语、关联词搭配不当等问题。</explain>
      <paraID>2CA16591</paraID>
      <start>20</start>
      <end>24</end>
      <status>ignored</status>
      <modifiedWord/>
      <trackRevisions>false</trackRevisions>
    </reviewItem>
    <reviewItem>
      <errorID>0f00b91d-1b2b-4436-8c12-3ba9b65b93a5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27C9C7CA</paraID>
      <start>73</start>
      <end>74</end>
      <status>ignored</status>
      <modifiedWord/>
      <trackRevisions>false</trackRevisions>
    </reviewItem>
    <reviewItem>
      <errorID>4313eb86-597f-48ef-aca9-ff05852b9244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27C9C7CA</paraID>
      <start>84</start>
      <end>85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d3af24-13bb-4c5e-b37d-f92fa794e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1132</Characters>
  <Lines>0</Lines>
  <Paragraphs>0</Paragraphs>
  <TotalTime>48</TotalTime>
  <ScaleCrop>false</ScaleCrop>
  <LinksUpToDate>false</LinksUpToDate>
  <CharactersWithSpaces>1185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dcterms:modified xsi:type="dcterms:W3CDTF">2026-06-10T06:15:30Z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F79D4648AA894740964F1E9120DB11B6_13</vt:lpwstr>
  </property>
  <property fmtid="{D5CDD505-2E9C-101B-9397-08002B2CF9AE}" pid="4" name="KSOTemplateDocerSaveRecord">
    <vt:lpwstr>eyJoZGlkIjoiNmVmOWQyNjA4MWZmNDdjOTk0Yzg0NTZlOGI5OTU3Y2UiLCJ1c2VySWQiOiI0NjUzMDkyODQifQ==</vt:lpwstr>
  </property>
</Properties>
</file>