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41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_GBK" w:eastAsia="方正小标宋_GBK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sz w:val="44"/>
          <w:szCs w:val="44"/>
        </w:rPr>
        <w:t>高淳生态环境局202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_GBK" w:eastAsia="方正小标宋_GBK"/>
          <w:sz w:val="44"/>
          <w:szCs w:val="44"/>
        </w:rPr>
        <w:t>年度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排污许可技术支撑</w:t>
      </w:r>
      <w:r>
        <w:rPr>
          <w:rFonts w:hint="eastAsia" w:ascii="方正小标宋_GBK" w:eastAsia="方正小标宋_GBK"/>
          <w:sz w:val="44"/>
          <w:szCs w:val="44"/>
        </w:rPr>
        <w:t>服务项目采购综合评比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得分表</w:t>
      </w:r>
    </w:p>
    <w:p w14:paraId="55A903F5">
      <w:pP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供应商：</w:t>
      </w:r>
    </w:p>
    <w:tbl>
      <w:tblPr>
        <w:tblStyle w:val="3"/>
        <w:tblW w:w="0" w:type="auto"/>
        <w:tblInd w:w="-17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365"/>
        <w:gridCol w:w="4650"/>
        <w:gridCol w:w="1200"/>
        <w:gridCol w:w="1395"/>
      </w:tblGrid>
      <w:tr w14:paraId="254C8F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845" w:type="dxa"/>
            <w:vAlign w:val="center"/>
          </w:tcPr>
          <w:p w14:paraId="353CF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序号</w:t>
            </w:r>
          </w:p>
        </w:tc>
        <w:tc>
          <w:tcPr>
            <w:tcW w:w="1365" w:type="dxa"/>
            <w:vAlign w:val="center"/>
          </w:tcPr>
          <w:p w14:paraId="20341CFB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评分因素</w:t>
            </w:r>
          </w:p>
        </w:tc>
        <w:tc>
          <w:tcPr>
            <w:tcW w:w="4650" w:type="dxa"/>
            <w:vAlign w:val="center"/>
          </w:tcPr>
          <w:p w14:paraId="7B6BB342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评分标准</w:t>
            </w:r>
          </w:p>
        </w:tc>
        <w:tc>
          <w:tcPr>
            <w:tcW w:w="1200" w:type="dxa"/>
            <w:vAlign w:val="center"/>
          </w:tcPr>
          <w:p w14:paraId="2C2A03E5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分值</w:t>
            </w:r>
          </w:p>
        </w:tc>
        <w:tc>
          <w:tcPr>
            <w:tcW w:w="1395" w:type="dxa"/>
            <w:vAlign w:val="center"/>
          </w:tcPr>
          <w:p w14:paraId="3D59CADB">
            <w:pPr>
              <w:jc w:val="center"/>
              <w:rPr>
                <w:rFonts w:hint="default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得分</w:t>
            </w:r>
          </w:p>
        </w:tc>
      </w:tr>
      <w:tr w14:paraId="43FA7C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845" w:type="dxa"/>
            <w:vAlign w:val="center"/>
          </w:tcPr>
          <w:p w14:paraId="29CCF5BD">
            <w:pPr>
              <w:spacing w:line="32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1365" w:type="dxa"/>
            <w:vAlign w:val="center"/>
          </w:tcPr>
          <w:p w14:paraId="234176C8">
            <w:pPr>
              <w:spacing w:line="320" w:lineRule="exact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价格</w:t>
            </w:r>
          </w:p>
        </w:tc>
        <w:tc>
          <w:tcPr>
            <w:tcW w:w="4650" w:type="dxa"/>
            <w:vAlign w:val="center"/>
          </w:tcPr>
          <w:p w14:paraId="4ECEBB91">
            <w:pPr>
              <w:spacing w:line="320" w:lineRule="exac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价格分采用低价优先法计算，即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最终价格</w:t>
            </w:r>
            <w:r>
              <w:rPr>
                <w:rFonts w:hint="eastAsia" w:ascii="仿宋" w:hAnsi="仿宋" w:eastAsia="仿宋" w:cs="仿宋"/>
              </w:rPr>
              <w:t>最低</w:t>
            </w:r>
            <w:r>
              <w:rPr>
                <w:rFonts w:hint="eastAsia" w:ascii="仿宋" w:hAnsi="仿宋" w:eastAsia="仿宋" w:cs="仿宋"/>
                <w:lang w:eastAsia="zh-CN"/>
              </w:rPr>
              <w:t>者的报价为</w:t>
            </w:r>
            <w:r>
              <w:rPr>
                <w:rFonts w:hint="eastAsia" w:ascii="仿宋" w:hAnsi="仿宋" w:eastAsia="仿宋" w:cs="仿宋"/>
              </w:rPr>
              <w:t>评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分</w:t>
            </w:r>
            <w:r>
              <w:rPr>
                <w:rFonts w:hint="eastAsia" w:ascii="仿宋" w:hAnsi="仿宋" w:eastAsia="仿宋" w:cs="仿宋"/>
              </w:rPr>
              <w:t>基准价，其价格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分是</w:t>
            </w:r>
            <w:r>
              <w:rPr>
                <w:rFonts w:hint="eastAsia" w:ascii="仿宋" w:hAnsi="仿宋" w:eastAsia="仿宋" w:cs="仿宋"/>
              </w:rPr>
              <w:t>满分。其他供应商按照下列公式计算（保留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</w:rPr>
              <w:t>位小数）报价得分=（评分基准价/报价）*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</w:rPr>
              <w:t>0。</w:t>
            </w:r>
          </w:p>
        </w:tc>
        <w:tc>
          <w:tcPr>
            <w:tcW w:w="1200" w:type="dxa"/>
            <w:vAlign w:val="center"/>
          </w:tcPr>
          <w:p w14:paraId="359E52F7">
            <w:pPr>
              <w:spacing w:line="320" w:lineRule="exact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10</w:t>
            </w:r>
          </w:p>
        </w:tc>
        <w:tc>
          <w:tcPr>
            <w:tcW w:w="1395" w:type="dxa"/>
            <w:vAlign w:val="center"/>
          </w:tcPr>
          <w:p w14:paraId="4BA7AD71">
            <w:pPr>
              <w:spacing w:line="32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763BE0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845" w:type="dxa"/>
            <w:vAlign w:val="center"/>
          </w:tcPr>
          <w:p w14:paraId="5A9B8E82">
            <w:pPr>
              <w:spacing w:line="32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1365" w:type="dxa"/>
            <w:vAlign w:val="center"/>
          </w:tcPr>
          <w:p w14:paraId="64CE92ED">
            <w:pPr>
              <w:spacing w:line="32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业绩</w:t>
            </w:r>
          </w:p>
        </w:tc>
        <w:tc>
          <w:tcPr>
            <w:tcW w:w="4650" w:type="dxa"/>
            <w:vAlign w:val="center"/>
          </w:tcPr>
          <w:p w14:paraId="1ADBF33E">
            <w:pPr>
              <w:spacing w:line="320" w:lineRule="exac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供应商提供近三年内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承担过同类型</w:t>
            </w:r>
            <w:r>
              <w:rPr>
                <w:rFonts w:hint="eastAsia" w:ascii="仿宋" w:hAnsi="仿宋" w:eastAsia="仿宋" w:cs="仿宋"/>
              </w:rPr>
              <w:t>项目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的</w:t>
            </w:r>
            <w:r>
              <w:rPr>
                <w:rFonts w:hint="eastAsia" w:ascii="仿宋" w:hAnsi="仿宋" w:eastAsia="仿宋" w:cs="仿宋"/>
              </w:rPr>
              <w:t>业绩，每提供1个有效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</w:rPr>
              <w:t>案例得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</w:rPr>
              <w:t>分（提供合同复印件加盖公章），最高得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</w:rPr>
              <w:t>分。</w:t>
            </w:r>
          </w:p>
        </w:tc>
        <w:tc>
          <w:tcPr>
            <w:tcW w:w="1200" w:type="dxa"/>
            <w:vAlign w:val="center"/>
          </w:tcPr>
          <w:p w14:paraId="31768A7A">
            <w:pPr>
              <w:spacing w:line="320" w:lineRule="exact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15</w:t>
            </w:r>
          </w:p>
        </w:tc>
        <w:tc>
          <w:tcPr>
            <w:tcW w:w="1395" w:type="dxa"/>
            <w:vAlign w:val="center"/>
          </w:tcPr>
          <w:p w14:paraId="59A88A02">
            <w:pPr>
              <w:spacing w:line="32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05BAB5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845" w:type="dxa"/>
            <w:vAlign w:val="center"/>
          </w:tcPr>
          <w:p w14:paraId="3870CAB6">
            <w:pPr>
              <w:spacing w:line="320" w:lineRule="exact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</w:t>
            </w:r>
          </w:p>
        </w:tc>
        <w:tc>
          <w:tcPr>
            <w:tcW w:w="1365" w:type="dxa"/>
            <w:vAlign w:val="center"/>
          </w:tcPr>
          <w:p w14:paraId="536DB69F">
            <w:pPr>
              <w:spacing w:line="320" w:lineRule="exact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服务方案</w:t>
            </w:r>
          </w:p>
        </w:tc>
        <w:tc>
          <w:tcPr>
            <w:tcW w:w="4650" w:type="dxa"/>
            <w:vAlign w:val="center"/>
          </w:tcPr>
          <w:p w14:paraId="5443BDF8">
            <w:pPr>
              <w:spacing w:line="320" w:lineRule="exac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根据供应商提供的服务方案内容进行评分：</w:t>
            </w:r>
          </w:p>
          <w:p w14:paraId="70EEA356">
            <w:pPr>
              <w:numPr>
                <w:ilvl w:val="0"/>
                <w:numId w:val="1"/>
              </w:numPr>
              <w:spacing w:line="320" w:lineRule="exact"/>
              <w:jc w:val="left"/>
              <w:rPr>
                <w:rFonts w:hint="default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服务</w:t>
            </w:r>
            <w:r>
              <w:rPr>
                <w:rFonts w:hint="default" w:ascii="仿宋" w:hAnsi="仿宋" w:eastAsia="仿宋" w:cs="仿宋"/>
              </w:rPr>
              <w:t>方案描述详尽、合理</w:t>
            </w:r>
            <w:r>
              <w:rPr>
                <w:rFonts w:hint="eastAsia" w:ascii="仿宋" w:hAnsi="仿宋" w:eastAsia="仿宋" w:cs="仿宋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针对性强</w:t>
            </w:r>
            <w:r>
              <w:rPr>
                <w:rFonts w:hint="default" w:ascii="仿宋" w:hAnsi="仿宋" w:eastAsia="仿宋" w:cs="仿宋"/>
              </w:rPr>
              <w:t>，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得20～30分</w:t>
            </w:r>
            <w:r>
              <w:rPr>
                <w:rFonts w:hint="default" w:ascii="仿宋" w:hAnsi="仿宋" w:eastAsia="仿宋" w:cs="仿宋"/>
              </w:rPr>
              <w:t>。</w:t>
            </w:r>
          </w:p>
          <w:p w14:paraId="19FD14A5">
            <w:pPr>
              <w:numPr>
                <w:ilvl w:val="0"/>
                <w:numId w:val="1"/>
              </w:numPr>
              <w:spacing w:line="320" w:lineRule="exac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服务</w:t>
            </w:r>
            <w:r>
              <w:rPr>
                <w:rFonts w:hint="default" w:ascii="仿宋" w:hAnsi="仿宋" w:eastAsia="仿宋" w:cs="仿宋"/>
              </w:rPr>
              <w:t>方案描述较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详尽、</w:t>
            </w:r>
            <w:r>
              <w:rPr>
                <w:rFonts w:hint="default" w:ascii="仿宋" w:hAnsi="仿宋" w:eastAsia="仿宋" w:cs="仿宋"/>
              </w:rPr>
              <w:t>合理，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针对性一般，</w:t>
            </w:r>
            <w:r>
              <w:rPr>
                <w:rFonts w:hint="default" w:ascii="仿宋" w:hAnsi="仿宋" w:eastAsia="仿宋" w:cs="仿宋"/>
              </w:rPr>
              <w:t>得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10～20</w:t>
            </w:r>
            <w:r>
              <w:rPr>
                <w:rFonts w:hint="default" w:ascii="仿宋" w:hAnsi="仿宋" w:eastAsia="仿宋" w:cs="仿宋"/>
              </w:rPr>
              <w:t>分；</w:t>
            </w:r>
          </w:p>
          <w:p w14:paraId="13D859C5">
            <w:pPr>
              <w:numPr>
                <w:ilvl w:val="0"/>
                <w:numId w:val="1"/>
              </w:numPr>
              <w:spacing w:line="320" w:lineRule="exac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服务</w:t>
            </w:r>
            <w:r>
              <w:rPr>
                <w:rFonts w:hint="default" w:ascii="仿宋" w:hAnsi="仿宋" w:eastAsia="仿宋" w:cs="仿宋"/>
              </w:rPr>
              <w:t>方案内容存在缺陷或过于笼统，可行性存疑，得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1～10</w:t>
            </w:r>
            <w:r>
              <w:rPr>
                <w:rFonts w:hint="default" w:ascii="仿宋" w:hAnsi="仿宋" w:eastAsia="仿宋" w:cs="仿宋"/>
              </w:rPr>
              <w:t>分；</w:t>
            </w:r>
          </w:p>
          <w:p w14:paraId="47A0E90C">
            <w:pPr>
              <w:numPr>
                <w:ilvl w:val="0"/>
                <w:numId w:val="1"/>
              </w:numPr>
              <w:spacing w:line="320" w:lineRule="exac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default" w:ascii="仿宋" w:hAnsi="仿宋" w:eastAsia="仿宋" w:cs="仿宋"/>
              </w:rPr>
              <w:t>未提供方案不得分。</w:t>
            </w:r>
          </w:p>
        </w:tc>
        <w:tc>
          <w:tcPr>
            <w:tcW w:w="1200" w:type="dxa"/>
            <w:vAlign w:val="center"/>
          </w:tcPr>
          <w:p w14:paraId="239BD380">
            <w:pPr>
              <w:spacing w:line="320" w:lineRule="exact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30</w:t>
            </w:r>
          </w:p>
        </w:tc>
        <w:tc>
          <w:tcPr>
            <w:tcW w:w="1395" w:type="dxa"/>
            <w:vAlign w:val="center"/>
          </w:tcPr>
          <w:p w14:paraId="48029852">
            <w:pPr>
              <w:spacing w:line="32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0332DD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</w:trPr>
        <w:tc>
          <w:tcPr>
            <w:tcW w:w="845" w:type="dxa"/>
            <w:vAlign w:val="center"/>
          </w:tcPr>
          <w:p w14:paraId="5ADBA8AD">
            <w:pPr>
              <w:spacing w:line="320" w:lineRule="exact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</w:t>
            </w:r>
          </w:p>
        </w:tc>
        <w:tc>
          <w:tcPr>
            <w:tcW w:w="1365" w:type="dxa"/>
            <w:vAlign w:val="center"/>
          </w:tcPr>
          <w:p w14:paraId="26492ECF">
            <w:pPr>
              <w:spacing w:line="32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团队保障</w:t>
            </w:r>
          </w:p>
        </w:tc>
        <w:tc>
          <w:tcPr>
            <w:tcW w:w="4650" w:type="dxa"/>
            <w:vAlign w:val="center"/>
          </w:tcPr>
          <w:p w14:paraId="351794C9">
            <w:pPr>
              <w:spacing w:line="320" w:lineRule="exac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根据供应商拟投入本项目的团队人员进行综合评分</w:t>
            </w:r>
            <w:r>
              <w:rPr>
                <w:rFonts w:hint="eastAsia" w:ascii="仿宋" w:hAnsi="仿宋" w:eastAsia="仿宋" w:cs="仿宋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</w:rPr>
              <w:t xml:space="preserve"> </w:t>
            </w:r>
          </w:p>
          <w:p w14:paraId="75A0DCB3">
            <w:pPr>
              <w:spacing w:line="320" w:lineRule="exac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（1）支撑团队组成人员安排合理、专业性强、经验丰富</w:t>
            </w:r>
            <w:r>
              <w:rPr>
                <w:rFonts w:hint="eastAsia" w:ascii="仿宋" w:hAnsi="仿宋" w:eastAsia="仿宋" w:cs="仿宋"/>
                <w:lang w:eastAsia="zh-CN"/>
              </w:rPr>
              <w:t>，得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20～30</w:t>
            </w:r>
            <w:r>
              <w:rPr>
                <w:rFonts w:hint="eastAsia" w:ascii="仿宋" w:hAnsi="仿宋" w:eastAsia="仿宋" w:cs="仿宋"/>
              </w:rPr>
              <w:t>分</w:t>
            </w:r>
            <w:r>
              <w:rPr>
                <w:rFonts w:hint="eastAsia" w:ascii="仿宋" w:hAnsi="仿宋" w:eastAsia="仿宋" w:cs="仿宋"/>
                <w:lang w:eastAsia="zh-CN"/>
              </w:rPr>
              <w:t>；</w:t>
            </w:r>
          </w:p>
          <w:p w14:paraId="10BDCDAA">
            <w:pPr>
              <w:spacing w:line="320" w:lineRule="exac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（2）支撑团队组成人员安排较好、专业性较强、具有一定经验</w:t>
            </w:r>
            <w:r>
              <w:rPr>
                <w:rFonts w:hint="eastAsia" w:ascii="仿宋" w:hAnsi="仿宋" w:eastAsia="仿宋" w:cs="仿宋"/>
                <w:lang w:eastAsia="zh-CN"/>
              </w:rPr>
              <w:t>，得</w:t>
            </w:r>
            <w:r>
              <w:rPr>
                <w:rFonts w:hint="eastAsia" w:ascii="仿宋" w:hAnsi="仿宋" w:eastAsia="仿宋" w:cs="仿宋"/>
              </w:rPr>
              <w:t>1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0～20</w:t>
            </w:r>
            <w:r>
              <w:rPr>
                <w:rFonts w:hint="eastAsia" w:ascii="仿宋" w:hAnsi="仿宋" w:eastAsia="仿宋" w:cs="仿宋"/>
              </w:rPr>
              <w:t>分</w:t>
            </w:r>
            <w:r>
              <w:rPr>
                <w:rFonts w:hint="eastAsia" w:ascii="仿宋" w:hAnsi="仿宋" w:eastAsia="仿宋" w:cs="仿宋"/>
                <w:lang w:eastAsia="zh-CN"/>
              </w:rPr>
              <w:t>；</w:t>
            </w:r>
          </w:p>
          <w:p w14:paraId="1A7FA93D">
            <w:pPr>
              <w:spacing w:line="320" w:lineRule="exac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（3）支撑团队组成人员略有缺陷、专业性及经验欠缺</w:t>
            </w:r>
            <w:r>
              <w:rPr>
                <w:rFonts w:hint="eastAsia" w:ascii="仿宋" w:hAnsi="仿宋" w:eastAsia="仿宋" w:cs="仿宋"/>
                <w:lang w:eastAsia="zh-CN"/>
              </w:rPr>
              <w:t>，得</w:t>
            </w:r>
            <w:r>
              <w:rPr>
                <w:rFonts w:hint="eastAsia" w:ascii="仿宋" w:hAnsi="仿宋" w:eastAsia="仿宋" w:cs="仿宋"/>
              </w:rPr>
              <w:t>1</w:t>
            </w:r>
            <w:r>
              <w:rPr>
                <w:rFonts w:hint="eastAsia" w:ascii="仿宋" w:hAnsi="仿宋" w:eastAsia="仿宋" w:cs="仿宋"/>
                <w:lang w:eastAsia="zh-CN"/>
              </w:rPr>
              <w:t>～</w:t>
            </w:r>
            <w:r>
              <w:rPr>
                <w:rFonts w:hint="eastAsia" w:ascii="仿宋" w:hAnsi="仿宋" w:eastAsia="仿宋" w:cs="仿宋"/>
              </w:rPr>
              <w:t xml:space="preserve">10分。 </w:t>
            </w:r>
          </w:p>
          <w:p w14:paraId="4AFCEADF">
            <w:pPr>
              <w:spacing w:line="320" w:lineRule="exac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（4）未提供不得分。</w:t>
            </w:r>
          </w:p>
        </w:tc>
        <w:tc>
          <w:tcPr>
            <w:tcW w:w="1200" w:type="dxa"/>
            <w:vAlign w:val="center"/>
          </w:tcPr>
          <w:p w14:paraId="28D8F28A">
            <w:pPr>
              <w:spacing w:line="320" w:lineRule="exact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30</w:t>
            </w:r>
          </w:p>
        </w:tc>
        <w:tc>
          <w:tcPr>
            <w:tcW w:w="1395" w:type="dxa"/>
            <w:vAlign w:val="center"/>
          </w:tcPr>
          <w:p w14:paraId="45B907DB">
            <w:pPr>
              <w:spacing w:line="32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23FFAA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45" w:type="dxa"/>
            <w:vAlign w:val="center"/>
          </w:tcPr>
          <w:p w14:paraId="4498FA50">
            <w:pPr>
              <w:spacing w:line="320" w:lineRule="exact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</w:t>
            </w:r>
          </w:p>
        </w:tc>
        <w:tc>
          <w:tcPr>
            <w:tcW w:w="1365" w:type="dxa"/>
            <w:vAlign w:val="center"/>
          </w:tcPr>
          <w:p w14:paraId="39C370C8">
            <w:pPr>
              <w:spacing w:line="32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履约能力</w:t>
            </w:r>
          </w:p>
        </w:tc>
        <w:tc>
          <w:tcPr>
            <w:tcW w:w="4650" w:type="dxa"/>
            <w:vAlign w:val="center"/>
          </w:tcPr>
          <w:p w14:paraId="7C8A74E2">
            <w:pPr>
              <w:spacing w:line="320" w:lineRule="exac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根据供应商服务承诺打分。</w:t>
            </w:r>
          </w:p>
        </w:tc>
        <w:tc>
          <w:tcPr>
            <w:tcW w:w="1200" w:type="dxa"/>
            <w:vAlign w:val="center"/>
          </w:tcPr>
          <w:p w14:paraId="666C5660">
            <w:pPr>
              <w:spacing w:line="320" w:lineRule="exact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</w:t>
            </w:r>
          </w:p>
        </w:tc>
        <w:tc>
          <w:tcPr>
            <w:tcW w:w="1395" w:type="dxa"/>
            <w:vAlign w:val="center"/>
          </w:tcPr>
          <w:p w14:paraId="22232355">
            <w:pPr>
              <w:spacing w:line="32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3A45BD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845" w:type="dxa"/>
            <w:vAlign w:val="center"/>
          </w:tcPr>
          <w:p w14:paraId="57A6336E">
            <w:pPr>
              <w:spacing w:line="320" w:lineRule="exact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6</w:t>
            </w:r>
          </w:p>
        </w:tc>
        <w:tc>
          <w:tcPr>
            <w:tcW w:w="1365" w:type="dxa"/>
            <w:vAlign w:val="center"/>
          </w:tcPr>
          <w:p w14:paraId="607D618F">
            <w:pPr>
              <w:spacing w:line="32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响应程度</w:t>
            </w:r>
          </w:p>
        </w:tc>
        <w:tc>
          <w:tcPr>
            <w:tcW w:w="4650" w:type="dxa"/>
            <w:vAlign w:val="center"/>
          </w:tcPr>
          <w:p w14:paraId="6A0341EE">
            <w:pPr>
              <w:spacing w:line="320" w:lineRule="exac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综合报价文件响应程度评分。内容齐全、详实得1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</w:rPr>
              <w:t>分；较为齐全、详实得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5～10</w:t>
            </w:r>
            <w:r>
              <w:rPr>
                <w:rFonts w:hint="eastAsia" w:ascii="仿宋" w:hAnsi="仿宋" w:eastAsia="仿宋" w:cs="仿宋"/>
              </w:rPr>
              <w:t>分；内容欠缺、不完整得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0～5</w:t>
            </w:r>
            <w:r>
              <w:rPr>
                <w:rFonts w:hint="eastAsia" w:ascii="仿宋" w:hAnsi="仿宋" w:eastAsia="仿宋" w:cs="仿宋"/>
              </w:rPr>
              <w:t>分。</w:t>
            </w:r>
          </w:p>
        </w:tc>
        <w:tc>
          <w:tcPr>
            <w:tcW w:w="1200" w:type="dxa"/>
            <w:vAlign w:val="center"/>
          </w:tcPr>
          <w:p w14:paraId="6E32C093">
            <w:pPr>
              <w:spacing w:line="320" w:lineRule="exact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10</w:t>
            </w:r>
          </w:p>
        </w:tc>
        <w:tc>
          <w:tcPr>
            <w:tcW w:w="1395" w:type="dxa"/>
            <w:vAlign w:val="center"/>
          </w:tcPr>
          <w:p w14:paraId="47004843">
            <w:pPr>
              <w:spacing w:line="32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308CF7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860" w:type="dxa"/>
            <w:gridSpan w:val="3"/>
            <w:vAlign w:val="center"/>
          </w:tcPr>
          <w:p w14:paraId="76E4751D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总计</w:t>
            </w:r>
          </w:p>
        </w:tc>
        <w:tc>
          <w:tcPr>
            <w:tcW w:w="1200" w:type="dxa"/>
            <w:vAlign w:val="center"/>
          </w:tcPr>
          <w:p w14:paraId="106BF5B2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100</w:t>
            </w:r>
          </w:p>
        </w:tc>
        <w:tc>
          <w:tcPr>
            <w:tcW w:w="1395" w:type="dxa"/>
            <w:vAlign w:val="center"/>
          </w:tcPr>
          <w:p w14:paraId="78FAC8A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</w:tbl>
    <w:p w14:paraId="5843BB43"/>
    <w:p w14:paraId="695E9B75">
      <w:pPr>
        <w:ind w:firstLine="5622" w:firstLineChars="2000"/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评分人：</w:t>
      </w:r>
    </w:p>
    <w:sectPr>
      <w:pgSz w:w="11906" w:h="16838"/>
      <w:pgMar w:top="1701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86DBC5"/>
    <w:multiLevelType w:val="singleLevel"/>
    <w:tmpl w:val="A086DBC5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4DD"/>
    <w:rsid w:val="0002174E"/>
    <w:rsid w:val="00022EB7"/>
    <w:rsid w:val="00055CCE"/>
    <w:rsid w:val="000E014B"/>
    <w:rsid w:val="0013013E"/>
    <w:rsid w:val="0017567D"/>
    <w:rsid w:val="0018562E"/>
    <w:rsid w:val="001B685C"/>
    <w:rsid w:val="001D187B"/>
    <w:rsid w:val="001F79DA"/>
    <w:rsid w:val="00217CE3"/>
    <w:rsid w:val="002901EB"/>
    <w:rsid w:val="002C6743"/>
    <w:rsid w:val="002F6FFD"/>
    <w:rsid w:val="003C5B62"/>
    <w:rsid w:val="004264BB"/>
    <w:rsid w:val="00454BE7"/>
    <w:rsid w:val="004A4259"/>
    <w:rsid w:val="004D41D3"/>
    <w:rsid w:val="00515116"/>
    <w:rsid w:val="00546DDA"/>
    <w:rsid w:val="0054703F"/>
    <w:rsid w:val="005E3AEC"/>
    <w:rsid w:val="00624A01"/>
    <w:rsid w:val="006272CF"/>
    <w:rsid w:val="00632360"/>
    <w:rsid w:val="006C2839"/>
    <w:rsid w:val="006C4276"/>
    <w:rsid w:val="006E28AC"/>
    <w:rsid w:val="006E4A71"/>
    <w:rsid w:val="006E5472"/>
    <w:rsid w:val="00703887"/>
    <w:rsid w:val="00711846"/>
    <w:rsid w:val="00717C59"/>
    <w:rsid w:val="00721095"/>
    <w:rsid w:val="00730AB7"/>
    <w:rsid w:val="007445BF"/>
    <w:rsid w:val="00746FEE"/>
    <w:rsid w:val="007A27E6"/>
    <w:rsid w:val="007A2CBF"/>
    <w:rsid w:val="007A3399"/>
    <w:rsid w:val="007C7D64"/>
    <w:rsid w:val="007E70A7"/>
    <w:rsid w:val="007F41F4"/>
    <w:rsid w:val="00801BD9"/>
    <w:rsid w:val="00806349"/>
    <w:rsid w:val="008426EC"/>
    <w:rsid w:val="00855A8F"/>
    <w:rsid w:val="00866608"/>
    <w:rsid w:val="008745E2"/>
    <w:rsid w:val="008F26ED"/>
    <w:rsid w:val="009263E4"/>
    <w:rsid w:val="00944904"/>
    <w:rsid w:val="009664DD"/>
    <w:rsid w:val="009739C0"/>
    <w:rsid w:val="00A16C9B"/>
    <w:rsid w:val="00A77655"/>
    <w:rsid w:val="00AA4493"/>
    <w:rsid w:val="00AB48CC"/>
    <w:rsid w:val="00AB6C5E"/>
    <w:rsid w:val="00B02721"/>
    <w:rsid w:val="00B063A3"/>
    <w:rsid w:val="00B33227"/>
    <w:rsid w:val="00B467AD"/>
    <w:rsid w:val="00B529C6"/>
    <w:rsid w:val="00B71A44"/>
    <w:rsid w:val="00BA5DE9"/>
    <w:rsid w:val="00BB6559"/>
    <w:rsid w:val="00C13333"/>
    <w:rsid w:val="00C149A2"/>
    <w:rsid w:val="00C800D8"/>
    <w:rsid w:val="00CC0CC1"/>
    <w:rsid w:val="00CF55CC"/>
    <w:rsid w:val="00CF7081"/>
    <w:rsid w:val="00D40758"/>
    <w:rsid w:val="00DB7E54"/>
    <w:rsid w:val="00E27307"/>
    <w:rsid w:val="00E77D18"/>
    <w:rsid w:val="00EC4A12"/>
    <w:rsid w:val="00EE6E14"/>
    <w:rsid w:val="00EF5B7A"/>
    <w:rsid w:val="00F7244D"/>
    <w:rsid w:val="00FC2500"/>
    <w:rsid w:val="05EC26B0"/>
    <w:rsid w:val="16372D4E"/>
    <w:rsid w:val="1B685F21"/>
    <w:rsid w:val="210A3C65"/>
    <w:rsid w:val="246D1466"/>
    <w:rsid w:val="2E4326E5"/>
    <w:rsid w:val="2EB564B0"/>
    <w:rsid w:val="2EDB0F32"/>
    <w:rsid w:val="30882C65"/>
    <w:rsid w:val="318E776C"/>
    <w:rsid w:val="32705B18"/>
    <w:rsid w:val="342767B2"/>
    <w:rsid w:val="3461797E"/>
    <w:rsid w:val="35E81C8D"/>
    <w:rsid w:val="38683836"/>
    <w:rsid w:val="38906A73"/>
    <w:rsid w:val="38A045B3"/>
    <w:rsid w:val="3A337D0D"/>
    <w:rsid w:val="3AAA7E69"/>
    <w:rsid w:val="3B03078B"/>
    <w:rsid w:val="411E68C6"/>
    <w:rsid w:val="411F3DF4"/>
    <w:rsid w:val="425C4D30"/>
    <w:rsid w:val="43813731"/>
    <w:rsid w:val="492C3603"/>
    <w:rsid w:val="4C542AE7"/>
    <w:rsid w:val="4C6E4B9F"/>
    <w:rsid w:val="4D2A6BE7"/>
    <w:rsid w:val="4DE43A02"/>
    <w:rsid w:val="52497B10"/>
    <w:rsid w:val="53BA0CC5"/>
    <w:rsid w:val="569A22A0"/>
    <w:rsid w:val="57474E3C"/>
    <w:rsid w:val="57905034"/>
    <w:rsid w:val="5B2829B8"/>
    <w:rsid w:val="5F463337"/>
    <w:rsid w:val="5F813A91"/>
    <w:rsid w:val="64080B0D"/>
    <w:rsid w:val="69135570"/>
    <w:rsid w:val="70187047"/>
    <w:rsid w:val="71D6050C"/>
    <w:rsid w:val="7A2C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518</Words>
  <Characters>543</Characters>
  <Lines>3</Lines>
  <Paragraphs>1</Paragraphs>
  <TotalTime>51</TotalTime>
  <ScaleCrop>false</ScaleCrop>
  <LinksUpToDate>false</LinksUpToDate>
  <CharactersWithSpaces>545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2025-06-25T02:35:00Z</dcterms:created>
  <dc:creator>袁志欣</dc:creator>
  <cp:lastModifiedBy>谨力</cp:lastModifiedBy>
  <cp:lastPrinted>2025-07-04T07:40:00Z</cp:lastPrinted>
  <dcterms:modified xsi:type="dcterms:W3CDTF">2025-12-12T05:54:06Z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eyJoZGlkIjoiYmViNTlmMGI3YTRkMTY0ZWYyMzY0YWEyYWJiNTYwOTkiLCJ1c2VySWQiOiI2MDc5OTI0NjUifQ==</vt:lpwstr>
  </property>
  <property fmtid="{D5CDD505-2E9C-101B-9397-08002B2CF9AE}" pid="3" name="KSOProductBuildVer">
    <vt:lpwstr>2052-12.1.0.24034</vt:lpwstr>
  </property>
  <property fmtid="{D5CDD505-2E9C-101B-9397-08002B2CF9AE}" pid="4" name="ICV">
    <vt:lpwstr>FCF47EE10DAD49C191A32F6FB041A03B_13</vt:lpwstr>
  </property>
</Properties>
</file>