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68897">
      <w:pPr>
        <w:ind w:left="0" w:leftChars="0" w:firstLine="0" w:firstLineChars="0"/>
        <w:jc w:val="left"/>
        <w:rPr>
          <w:rFonts w:hint="default" w:ascii="Times New Roman" w:hAnsi="Times New Roman" w:eastAsia="方正黑体_GBK" w:cs="Times New Roman"/>
          <w:color w:val="auto"/>
          <w:sz w:val="32"/>
          <w:szCs w:val="32"/>
        </w:rPr>
      </w:pPr>
      <w:bookmarkStart w:id="0" w:name="_Hlk83302662"/>
      <w:r>
        <w:rPr>
          <w:rFonts w:hint="default" w:ascii="Times New Roman" w:hAnsi="Times New Roman" w:eastAsia="方正黑体_GBK" w:cs="Times New Roman"/>
          <w:color w:val="auto"/>
          <w:sz w:val="32"/>
          <w:szCs w:val="32"/>
        </w:rPr>
        <w:t>附件3</w:t>
      </w:r>
    </w:p>
    <w:p w14:paraId="2743AEBE">
      <w:pPr>
        <w:pStyle w:val="103"/>
        <w:widowControl w:val="0"/>
        <w:spacing w:beforeAutospacing="0" w:afterAutospacing="0" w:line="560" w:lineRule="exact"/>
        <w:ind w:firstLine="0" w:firstLineChars="0"/>
        <w:jc w:val="both"/>
        <w:rPr>
          <w:rFonts w:hint="default" w:cs="Times New Roman"/>
          <w:color w:val="auto"/>
          <w:kern w:val="44"/>
          <w:sz w:val="44"/>
          <w:szCs w:val="44"/>
          <w:lang w:eastAsia="zh-CN"/>
        </w:rPr>
      </w:pPr>
    </w:p>
    <w:p w14:paraId="05C8692F">
      <w:pPr>
        <w:pStyle w:val="103"/>
        <w:widowControl w:val="0"/>
        <w:spacing w:beforeAutospacing="0" w:afterAutospacing="0" w:line="560" w:lineRule="exact"/>
        <w:ind w:firstLine="0" w:firstLineChars="0"/>
        <w:jc w:val="center"/>
        <w:rPr>
          <w:rFonts w:hint="default" w:cs="Times New Roman"/>
          <w:color w:val="auto"/>
          <w:kern w:val="44"/>
          <w:sz w:val="44"/>
          <w:szCs w:val="44"/>
        </w:rPr>
      </w:pPr>
      <w:r>
        <w:rPr>
          <w:rFonts w:hint="default" w:cs="Times New Roman"/>
          <w:color w:val="auto"/>
          <w:kern w:val="44"/>
          <w:sz w:val="44"/>
          <w:szCs w:val="44"/>
          <w:lang w:eastAsia="zh-CN"/>
        </w:rPr>
        <w:t>《</w:t>
      </w:r>
      <w:r>
        <w:rPr>
          <w:rFonts w:hint="default" w:cs="Times New Roman"/>
          <w:color w:val="auto"/>
          <w:kern w:val="44"/>
          <w:sz w:val="44"/>
          <w:szCs w:val="44"/>
        </w:rPr>
        <w:t>噪声敏感建筑物集中区域划定技术规范</w:t>
      </w:r>
    </w:p>
    <w:p w14:paraId="622A3B86">
      <w:pPr>
        <w:pStyle w:val="103"/>
        <w:widowControl w:val="0"/>
        <w:spacing w:beforeAutospacing="0" w:afterAutospacing="0" w:line="560" w:lineRule="exact"/>
        <w:ind w:firstLine="0" w:firstLineChars="0"/>
        <w:jc w:val="center"/>
        <w:rPr>
          <w:rFonts w:hint="default" w:cs="Times New Roman"/>
          <w:color w:val="auto"/>
          <w:kern w:val="44"/>
          <w:sz w:val="44"/>
          <w:szCs w:val="44"/>
        </w:rPr>
      </w:pPr>
      <w:r>
        <w:rPr>
          <w:rFonts w:hint="eastAsia" w:cs="Times New Roman"/>
          <w:color w:val="auto"/>
          <w:kern w:val="44"/>
          <w:sz w:val="44"/>
          <w:szCs w:val="44"/>
          <w:lang w:eastAsia="zh-CN"/>
        </w:rPr>
        <w:t>（征求意见稿）</w:t>
      </w:r>
      <w:r>
        <w:rPr>
          <w:rFonts w:hint="default" w:cs="Times New Roman"/>
          <w:color w:val="auto"/>
          <w:kern w:val="44"/>
          <w:sz w:val="44"/>
          <w:szCs w:val="44"/>
        </w:rPr>
        <w:t>》编制说明</w:t>
      </w:r>
    </w:p>
    <w:p w14:paraId="35CB0DBD">
      <w:pPr>
        <w:pStyle w:val="4"/>
        <w:ind w:firstLine="643"/>
        <w:rPr>
          <w:rFonts w:hint="eastAsia" w:ascii="方正黑体_GBK" w:hAnsi="方正黑体_GBK" w:eastAsia="方正黑体_GBK" w:cs="方正黑体_GBK"/>
          <w:b w:val="0"/>
          <w:bCs w:val="0"/>
          <w:color w:val="auto"/>
        </w:rPr>
      </w:pPr>
      <w:bookmarkStart w:id="1" w:name="_Toc7164"/>
    </w:p>
    <w:p w14:paraId="66C3C015">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3"/>
        <w:textAlignment w:val="auto"/>
        <w:rPr>
          <w:rFonts w:hint="eastAsia" w:ascii="方正黑体_GBK" w:hAnsi="方正黑体_GBK" w:eastAsia="方正黑体_GBK" w:cs="方正黑体_GBK"/>
          <w:b w:val="0"/>
          <w:bCs w:val="0"/>
          <w:color w:val="auto"/>
        </w:rPr>
      </w:pPr>
      <w:r>
        <w:rPr>
          <w:rFonts w:hint="eastAsia" w:ascii="方正黑体_GBK" w:hAnsi="方正黑体_GBK" w:eastAsia="方正黑体_GBK" w:cs="方正黑体_GBK"/>
          <w:b w:val="0"/>
          <w:bCs w:val="0"/>
          <w:color w:val="auto"/>
        </w:rPr>
        <w:t>一、目的和意义</w:t>
      </w:r>
      <w:bookmarkEnd w:id="1"/>
    </w:p>
    <w:p w14:paraId="3723DF9F">
      <w:pPr>
        <w:pStyle w:val="5"/>
        <w:spacing w:before="0" w:after="0" w:line="580" w:lineRule="exact"/>
        <w:ind w:firstLine="643"/>
        <w:rPr>
          <w:rFonts w:hint="default" w:ascii="Times New Roman" w:hAnsi="Times New Roman" w:eastAsia="方正仿宋_GBK" w:cs="Times New Roman"/>
          <w:color w:val="auto"/>
        </w:rPr>
      </w:pPr>
      <w:bookmarkStart w:id="2" w:name="_Toc458"/>
      <w:r>
        <w:rPr>
          <w:rFonts w:hint="default" w:ascii="Times New Roman" w:hAnsi="Times New Roman" w:eastAsia="方正仿宋_GBK" w:cs="Times New Roman"/>
          <w:color w:val="auto"/>
        </w:rPr>
        <w:t>1.1发展现状</w:t>
      </w:r>
      <w:bookmarkEnd w:id="2"/>
    </w:p>
    <w:p w14:paraId="606C171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2022年，联合国环境规划署（UNEP）发布环境前沿报告《Frontiers 2022:Noise, Blazes and Mismatches》，指出噪声、火灾和物候不匹配是新兴的环境问题。随着工业化和城市化的快速发展，噪声污染问题日益凸显。工业生产、建筑施工、交通运输以及社会生活等活动产生的噪声不断增加，居住与商业、工业等功能混杂，住宅等距交通干线过近，导致噪声影响愈发突出。</w:t>
      </w:r>
    </w:p>
    <w:p w14:paraId="6BDEF02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随着生活水平提高，人们对生活质量要求提升，对环境舒适度更加关注。并且随着蓝天、碧水、净土污染防治攻坚战取得显著成效后，人民群众对生态环境质量期望进一步提高，对噪声污染这类生态环境问题的容忍度降低，噪声污染成为环境领域集中投诉的热点和焦点。</w:t>
      </w:r>
    </w:p>
    <w:p w14:paraId="2D18A25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根据生态环境部发布的《2024年中国噪声污染防治报告》：2023年，全国地级及以上城市12345政务服务便民热线以及生态环境、公安、住房和城乡建设等部门合计受理的噪声投诉举报案件约570.6万件，比上年增加120.3万件。</w:t>
      </w:r>
    </w:p>
    <w:p w14:paraId="4179411A">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2023 年，全国生态环境信访投诉举报管理平台（微信、网络渠道5）共接到投诉举报25.5万余件，与上年相比增加约0.1万件。噪声扰民问题占全部生态环境污染举报的61.3%，排在各环境污染要素的第1 位。</w:t>
      </w:r>
    </w:p>
    <w:p w14:paraId="59AC4C3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2024年，南京市生态环境系统共受理涉噪声投诉3235件，占受理总量45.6%。从投诉渠道来看，全国生态环境信访投诉举报管理平台交办312件，省生态环境信访举报系统交办73件，12345热线交办2741件，南京智慧“阳光信访”系统交办109件。从噪声类型来看，社会生活噪声投诉1515件，占比46.8%；建筑施工噪声投诉1206件，占比37.3%；工业噪声投诉298件，占比9.2%；交通噪声投诉216件，占比6.7%。从投诉区域来看，噪声投诉呈现主城和工业集中区多、郊区少的特点，投诉量排名前三的板块分别是秦淮区537件、江宁区435件、建邺区411件，高淳区、六合区较少，分别为99件、25件。</w:t>
      </w:r>
    </w:p>
    <w:p w14:paraId="5683C57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从投诉分布来看，噪声投诉量与人口密度密切相关，上海、北京、深圳等8个超大城市4噪声投诉总件数约166.3万件，约占全国地级及以上城市噪声投诉举报案件总量的三成。</w:t>
      </w:r>
    </w:p>
    <w:p w14:paraId="67BDF784">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2023 年，习近平总书记在全国生态环境保护大会上强调，要下大气力解决老百姓“家门口”的噪声、油烟、恶臭等问题，积极回应人民群众关切。为深入贯彻习近平总书记“还自然以宁静、和谐、美丽”的重要指示精神，积极满足人民群众对宁静优美生活环境的强烈需求，保护和改善声环境质量，国家有关部门和各级地方人民政府积极采取措施</w:t>
      </w:r>
      <w:r>
        <w:rPr>
          <w:rFonts w:hint="eastAsia" w:cs="Times New Roman"/>
          <w:color w:val="auto"/>
          <w:lang w:eastAsia="zh-CN"/>
        </w:rPr>
        <w:t>，</w:t>
      </w:r>
      <w:r>
        <w:rPr>
          <w:rFonts w:hint="default" w:ascii="Times New Roman" w:hAnsi="Times New Roman" w:cs="Times New Roman"/>
          <w:color w:val="auto"/>
        </w:rPr>
        <w:t>不断加大噪声污染防治力度，相继出台了《中华人民共和国噪声污染防治法》（以下简称“新噪声法”）、《“十四五”噪声污染防治行动计划》等一系列环境保护法律法规和噪声污染防治政策。各级人民政府各部门积极采取措施，不断加大噪声污染防治力度，着力解决好人民群众急难愁盼问题。</w:t>
      </w:r>
    </w:p>
    <w:p w14:paraId="5E00CBDB">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制定科学合理的噪声控制策略和法规，是做好城市噪声环境污染控制与治理的基础和依据。</w:t>
      </w:r>
      <w:r>
        <w:rPr>
          <w:rFonts w:hint="eastAsia" w:cs="Times New Roman"/>
          <w:color w:val="auto"/>
          <w:lang w:eastAsia="zh-CN"/>
        </w:rPr>
        <w:t>以上</w:t>
      </w:r>
      <w:r>
        <w:rPr>
          <w:rFonts w:hint="default" w:ascii="Times New Roman" w:hAnsi="Times New Roman" w:cs="Times New Roman"/>
          <w:color w:val="auto"/>
        </w:rPr>
        <w:t>法律法规及政策的发布，</w:t>
      </w:r>
      <w:r>
        <w:rPr>
          <w:rFonts w:hint="eastAsia" w:cs="Times New Roman"/>
          <w:color w:val="auto"/>
          <w:lang w:eastAsia="zh-CN"/>
        </w:rPr>
        <w:t>均</w:t>
      </w:r>
      <w:r>
        <w:rPr>
          <w:rFonts w:hint="default" w:ascii="Times New Roman" w:hAnsi="Times New Roman" w:cs="Times New Roman"/>
          <w:color w:val="auto"/>
        </w:rPr>
        <w:t>对噪声敏感建筑物集中区域的划分提出了要求，作为一项崭新的噪声控制管理手段，从国家到地方尚缺乏统一、科学的规范进行指导，噪声敏感建筑物集中区域划定规范的制定，已成为当前噪声污染防治工作亟待解决的基础性问题。</w:t>
      </w:r>
    </w:p>
    <w:p w14:paraId="00A4F3DE">
      <w:pPr>
        <w:pStyle w:val="5"/>
        <w:spacing w:before="0" w:after="0" w:line="580" w:lineRule="exact"/>
        <w:ind w:firstLine="643"/>
        <w:rPr>
          <w:rFonts w:hint="default" w:ascii="Times New Roman" w:hAnsi="Times New Roman" w:eastAsia="方正仿宋_GBK" w:cs="Times New Roman"/>
          <w:b w:val="0"/>
          <w:bCs w:val="0"/>
          <w:color w:val="auto"/>
        </w:rPr>
      </w:pPr>
      <w:bookmarkStart w:id="3" w:name="_Toc14829"/>
      <w:r>
        <w:rPr>
          <w:rFonts w:hint="default" w:ascii="Times New Roman" w:hAnsi="Times New Roman" w:eastAsia="方正仿宋_GBK" w:cs="Times New Roman"/>
          <w:color w:val="auto"/>
        </w:rPr>
        <w:t>1.2制定标准的必要性分析</w:t>
      </w:r>
      <w:bookmarkEnd w:id="3"/>
    </w:p>
    <w:p w14:paraId="4B863222">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填补法规空白，完善噪声污染防治体系</w:t>
      </w:r>
    </w:p>
    <w:p w14:paraId="6C2A64B0">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新噪声法”由中华人民共和国第十三届全国人民代表大会常务委员会第三十二次会议于2021年12月24日通过，自2022年6月5日起施行。第十四条提出：县级以上地方人民政府将以用于居住、科学研究、医疗卫生、文化教育、机关团体办公、社会福利等的建筑物为主的区域，划定为噪声敏感建筑物集中区域，加强噪声污染防治。噪声敏感建筑物集中区域范围应当向社会公布。这是在法律层面首次提出开展“噪声敏感建筑物集中区域”划定。</w:t>
      </w:r>
    </w:p>
    <w:p w14:paraId="4EB9B45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2023年1月，生态环境部会同</w:t>
      </w:r>
      <w:r>
        <w:rPr>
          <w:rFonts w:hint="eastAsia" w:cs="Times New Roman"/>
          <w:color w:val="auto"/>
          <w:lang w:eastAsia="zh-CN"/>
        </w:rPr>
        <w:t>住房和城乡建设部</w:t>
      </w:r>
      <w:r>
        <w:rPr>
          <w:rFonts w:hint="default" w:ascii="Times New Roman" w:hAnsi="Times New Roman" w:cs="Times New Roman"/>
          <w:color w:val="auto"/>
        </w:rPr>
        <w:t>、公安部、交通运输部等16个部门和单位联合印发的《“十四五”噪声污染防治行动计划》中又明确提出：要推动划定噪声敏感建筑物集中区域，研究噪声敏感建筑物集中区域划定要求，指导地方依据《噪声法》，结合国家声环境质量标准、国土空间规划和相关规划、噪声敏感建筑物布局等，开展噪声敏感建筑物集中区域划定。</w:t>
      </w:r>
    </w:p>
    <w:p w14:paraId="45C3F7E3">
      <w:pPr>
        <w:spacing w:line="360" w:lineRule="auto"/>
        <w:ind w:firstLine="420" w:firstLineChars="200"/>
        <w:jc w:val="center"/>
        <w:rPr>
          <w:rFonts w:hint="default" w:eastAsia="方正仿宋_GBK" w:cs="Times New Roman"/>
          <w:color w:val="auto"/>
          <w:kern w:val="0"/>
          <w:sz w:val="28"/>
          <w:szCs w:val="28"/>
        </w:rPr>
      </w:pPr>
      <w:r>
        <w:rPr>
          <w:rFonts w:hint="default" w:ascii="Times New Roman" w:hAnsi="Times New Roman" w:eastAsia="黑体" w:cs="Times New Roman"/>
          <w:color w:val="auto"/>
          <w:sz w:val="21"/>
          <w:szCs w:val="21"/>
        </w:rPr>
        <w:t>表1</w:t>
      </w:r>
      <w:r>
        <w:rPr>
          <w:rFonts w:hint="eastAsia" w:eastAsia="黑体" w:cs="Times New Roman"/>
          <w:color w:val="auto"/>
          <w:sz w:val="21"/>
          <w:szCs w:val="21"/>
          <w:lang w:val="en-US" w:eastAsia="zh-CN"/>
        </w:rPr>
        <w:t>-</w:t>
      </w:r>
      <w:r>
        <w:rPr>
          <w:rFonts w:hint="default" w:ascii="Times New Roman" w:hAnsi="Times New Roman" w:eastAsia="黑体" w:cs="Times New Roman"/>
          <w:color w:val="auto"/>
          <w:sz w:val="21"/>
          <w:szCs w:val="21"/>
        </w:rPr>
        <w:t>1 “噪声敏感建筑物集中区域”在新噪声法及声十条中的要求</w:t>
      </w:r>
    </w:p>
    <w:tbl>
      <w:tblPr>
        <w:tblStyle w:val="93"/>
        <w:tblW w:w="9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105"/>
        <w:gridCol w:w="4566"/>
      </w:tblGrid>
      <w:tr w14:paraId="5CA7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10" w:type="dxa"/>
            <w:vMerge w:val="restart"/>
            <w:vAlign w:val="center"/>
          </w:tcPr>
          <w:p w14:paraId="08E2B281">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w:t>
            </w:r>
          </w:p>
        </w:tc>
        <w:tc>
          <w:tcPr>
            <w:tcW w:w="8671" w:type="dxa"/>
            <w:gridSpan w:val="2"/>
            <w:vAlign w:val="center"/>
          </w:tcPr>
          <w:p w14:paraId="7BE6B482">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噪声敏感建筑物集中区域的管理要求</w:t>
            </w:r>
          </w:p>
        </w:tc>
      </w:tr>
      <w:tr w14:paraId="01EA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10" w:type="dxa"/>
            <w:vMerge w:val="continue"/>
            <w:vAlign w:val="center"/>
          </w:tcPr>
          <w:p w14:paraId="2F83CD17">
            <w:pPr>
              <w:spacing w:line="240" w:lineRule="auto"/>
              <w:ind w:firstLine="0" w:firstLineChars="0"/>
              <w:jc w:val="center"/>
              <w:rPr>
                <w:rFonts w:hint="default" w:ascii="Times New Roman" w:hAnsi="Times New Roman" w:eastAsia="仿宋_GB2312" w:cs="Times New Roman"/>
                <w:b/>
                <w:bCs/>
                <w:color w:val="auto"/>
                <w:sz w:val="24"/>
                <w:szCs w:val="24"/>
              </w:rPr>
            </w:pPr>
          </w:p>
        </w:tc>
        <w:tc>
          <w:tcPr>
            <w:tcW w:w="4105" w:type="dxa"/>
            <w:vAlign w:val="center"/>
          </w:tcPr>
          <w:p w14:paraId="6E5FA50C">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章节</w:t>
            </w:r>
          </w:p>
        </w:tc>
        <w:tc>
          <w:tcPr>
            <w:tcW w:w="4566" w:type="dxa"/>
            <w:vAlign w:val="center"/>
          </w:tcPr>
          <w:p w14:paraId="664BB851">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要求</w:t>
            </w:r>
          </w:p>
        </w:tc>
      </w:tr>
      <w:tr w14:paraId="56AD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Merge w:val="restart"/>
            <w:vAlign w:val="center"/>
          </w:tcPr>
          <w:p w14:paraId="29719E7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《中华人民共和国噪声污染防治法》（2021）</w:t>
            </w:r>
          </w:p>
        </w:tc>
        <w:tc>
          <w:tcPr>
            <w:tcW w:w="4105" w:type="dxa"/>
            <w:vAlign w:val="center"/>
          </w:tcPr>
          <w:p w14:paraId="06D8EB1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噪声污染防治标准和规划</w:t>
            </w:r>
          </w:p>
        </w:tc>
        <w:tc>
          <w:tcPr>
            <w:tcW w:w="4566" w:type="dxa"/>
            <w:vAlign w:val="center"/>
          </w:tcPr>
          <w:p w14:paraId="4AC084A3">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1处，要求划分范围向社会公布。</w:t>
            </w:r>
          </w:p>
        </w:tc>
      </w:tr>
      <w:tr w14:paraId="17BC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Merge w:val="continue"/>
            <w:vAlign w:val="center"/>
          </w:tcPr>
          <w:p w14:paraId="4E383FD6">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5EF5D00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工业噪声污染防治</w:t>
            </w:r>
          </w:p>
        </w:tc>
        <w:tc>
          <w:tcPr>
            <w:tcW w:w="4566" w:type="dxa"/>
            <w:vAlign w:val="center"/>
          </w:tcPr>
          <w:p w14:paraId="17399959">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1处，要求禁止新建工业企业。</w:t>
            </w:r>
          </w:p>
        </w:tc>
      </w:tr>
      <w:tr w14:paraId="5BA0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10" w:type="dxa"/>
            <w:vMerge w:val="continue"/>
            <w:vAlign w:val="center"/>
          </w:tcPr>
          <w:p w14:paraId="39D7A05D">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202FE55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建筑施工噪声污染防治</w:t>
            </w:r>
          </w:p>
        </w:tc>
        <w:tc>
          <w:tcPr>
            <w:tcW w:w="4566" w:type="dxa"/>
            <w:vAlign w:val="center"/>
          </w:tcPr>
          <w:p w14:paraId="687E982B">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3处，包含使用低噪声设备、设置自动监测、禁止夜间施工等要求。</w:t>
            </w:r>
          </w:p>
        </w:tc>
      </w:tr>
      <w:tr w14:paraId="36D4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10" w:type="dxa"/>
            <w:vMerge w:val="continue"/>
            <w:vAlign w:val="center"/>
          </w:tcPr>
          <w:p w14:paraId="3883F02B">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38A1764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交通运输噪声污染防治</w:t>
            </w:r>
          </w:p>
        </w:tc>
        <w:tc>
          <w:tcPr>
            <w:tcW w:w="4566" w:type="dxa"/>
            <w:vAlign w:val="center"/>
          </w:tcPr>
          <w:p w14:paraId="2543D877">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3处，包含选线设计、选址距离、设置降噪措施等要求。</w:t>
            </w:r>
          </w:p>
        </w:tc>
      </w:tr>
      <w:tr w14:paraId="679E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10" w:type="dxa"/>
            <w:vMerge w:val="continue"/>
            <w:vAlign w:val="center"/>
          </w:tcPr>
          <w:p w14:paraId="007936EB">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453C879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社会生活噪声污染防治</w:t>
            </w:r>
          </w:p>
        </w:tc>
        <w:tc>
          <w:tcPr>
            <w:tcW w:w="4566" w:type="dxa"/>
            <w:vAlign w:val="center"/>
          </w:tcPr>
          <w:p w14:paraId="3E29E0B4">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3处，包含禁止使用高音喇叭、扰民投诉行为处理。</w:t>
            </w:r>
          </w:p>
        </w:tc>
      </w:tr>
      <w:tr w14:paraId="6C69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110" w:type="dxa"/>
            <w:vMerge w:val="continue"/>
            <w:vAlign w:val="center"/>
          </w:tcPr>
          <w:p w14:paraId="3BC6E89B">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58D652D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法律责任</w:t>
            </w:r>
          </w:p>
        </w:tc>
        <w:tc>
          <w:tcPr>
            <w:tcW w:w="4566" w:type="dxa"/>
            <w:vAlign w:val="center"/>
          </w:tcPr>
          <w:p w14:paraId="31357F84">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5处，对工业、施工、社会生活噪声管理中的行为制定处罚金额。</w:t>
            </w:r>
          </w:p>
        </w:tc>
      </w:tr>
      <w:tr w14:paraId="0D51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110" w:type="dxa"/>
            <w:vMerge w:val="restart"/>
            <w:vAlign w:val="center"/>
          </w:tcPr>
          <w:p w14:paraId="2CB5DF3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《“十四五”噪声污染防治行动计划》（2023）</w:t>
            </w:r>
          </w:p>
        </w:tc>
        <w:tc>
          <w:tcPr>
            <w:tcW w:w="4105" w:type="dxa"/>
            <w:vAlign w:val="center"/>
          </w:tcPr>
          <w:p w14:paraId="584081F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夯实声环境管理基础，推动持续改善</w:t>
            </w:r>
          </w:p>
        </w:tc>
        <w:tc>
          <w:tcPr>
            <w:tcW w:w="4566" w:type="dxa"/>
            <w:vAlign w:val="center"/>
          </w:tcPr>
          <w:p w14:paraId="3DC6C3C9">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3处，要求研究划定要求，开展噪声敏感建筑物集中区域划定工作。</w:t>
            </w:r>
          </w:p>
        </w:tc>
      </w:tr>
      <w:tr w14:paraId="29B8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10" w:type="dxa"/>
            <w:vMerge w:val="continue"/>
            <w:vAlign w:val="center"/>
          </w:tcPr>
          <w:p w14:paraId="175DB410">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00D1796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严格噪声源头管理，控制污染新增</w:t>
            </w:r>
          </w:p>
        </w:tc>
        <w:tc>
          <w:tcPr>
            <w:tcW w:w="4566" w:type="dxa"/>
            <w:vAlign w:val="center"/>
          </w:tcPr>
          <w:p w14:paraId="7F2AD847">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3处，要求合理安排交通和工业设施布局，公路、铁路、机场的选址选线避让要求。</w:t>
            </w:r>
          </w:p>
        </w:tc>
      </w:tr>
      <w:tr w14:paraId="0483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110" w:type="dxa"/>
            <w:vMerge w:val="continue"/>
            <w:vAlign w:val="center"/>
          </w:tcPr>
          <w:p w14:paraId="14A43F1E">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7C162AE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强化建筑施工噪声污染防治</w:t>
            </w:r>
          </w:p>
        </w:tc>
        <w:tc>
          <w:tcPr>
            <w:tcW w:w="4566" w:type="dxa"/>
            <w:vAlign w:val="center"/>
          </w:tcPr>
          <w:p w14:paraId="7977D06D">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3处，要求加严施工要求，完善夜间施工手续、采用低噪声设备等。</w:t>
            </w:r>
          </w:p>
        </w:tc>
      </w:tr>
      <w:tr w14:paraId="5C69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10" w:type="dxa"/>
            <w:vMerge w:val="continue"/>
            <w:vAlign w:val="center"/>
          </w:tcPr>
          <w:p w14:paraId="53FF709D">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09901EB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系统推进噪声监测，严格监督执法</w:t>
            </w:r>
          </w:p>
        </w:tc>
        <w:tc>
          <w:tcPr>
            <w:tcW w:w="4566" w:type="dxa"/>
            <w:vAlign w:val="center"/>
          </w:tcPr>
          <w:p w14:paraId="78F7FB1E">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1处，要求设置自动监测站点。</w:t>
            </w:r>
          </w:p>
        </w:tc>
      </w:tr>
      <w:tr w14:paraId="6592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10" w:type="dxa"/>
            <w:vMerge w:val="continue"/>
            <w:vAlign w:val="center"/>
          </w:tcPr>
          <w:p w14:paraId="5DF285A3">
            <w:pPr>
              <w:spacing w:line="240" w:lineRule="auto"/>
              <w:ind w:firstLine="0" w:firstLineChars="0"/>
              <w:jc w:val="center"/>
              <w:rPr>
                <w:rFonts w:hint="default" w:ascii="Times New Roman" w:hAnsi="Times New Roman" w:eastAsia="仿宋_GB2312" w:cs="Times New Roman"/>
                <w:color w:val="auto"/>
                <w:sz w:val="24"/>
                <w:szCs w:val="24"/>
              </w:rPr>
            </w:pPr>
          </w:p>
        </w:tc>
        <w:tc>
          <w:tcPr>
            <w:tcW w:w="4105" w:type="dxa"/>
            <w:vAlign w:val="center"/>
          </w:tcPr>
          <w:p w14:paraId="3BFD989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紧抓责任落实，引导全民共治</w:t>
            </w:r>
          </w:p>
        </w:tc>
        <w:tc>
          <w:tcPr>
            <w:tcW w:w="4566" w:type="dxa"/>
            <w:vAlign w:val="center"/>
          </w:tcPr>
          <w:p w14:paraId="0AD341DB">
            <w:pPr>
              <w:spacing w:line="240" w:lineRule="auto"/>
              <w:ind w:firstLine="0" w:firstLineChars="0"/>
              <w:jc w:val="left"/>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1处，明确优化噪声纠纷的解决方式。</w:t>
            </w:r>
          </w:p>
        </w:tc>
      </w:tr>
    </w:tbl>
    <w:p w14:paraId="46A04A15">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2023年5月23日，生态环境部办公厅印发了《关于开展第一批噪声污染防治试点（噪声敏感建筑物集中区域划定）工作的通知》（环办便函〔2023 〕156 号），要求在7 省（自治区、直辖市）10 市（区）开展噪声敏感建筑物集中区域划定试点工作，江苏省南京市位列其中。</w:t>
      </w:r>
    </w:p>
    <w:p w14:paraId="49FBD2D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按照部文件精神，2023年7月20日，江苏省生态环境厅会同省发改委、工信厅、公安厅等22个部门和单位联合印发《江苏省“十四五”噪声污染防治行动计划》（苏环办〔2023〕197号），该文件明确提出：各地可按照声环境管理需要开展先行先试，在各设区市开展噪声敏感建筑物集中区域划定工作，并公开发布。</w:t>
      </w:r>
    </w:p>
    <w:p w14:paraId="3D2CB7EE">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从以上文件要求可以看出，我国现有的噪声管理框架以《声环境质量标准》（GB 3096）和《声环境功能区划分技术规范》（GB/T 15190）为基础，但缺乏针对噪声敏感建筑物集中区域的专项划分标准。通过</w:t>
      </w:r>
      <w:r>
        <w:rPr>
          <w:rFonts w:hint="eastAsia" w:cs="Times New Roman"/>
          <w:color w:val="auto"/>
          <w:lang w:eastAsia="zh-CN"/>
        </w:rPr>
        <w:t>本文件</w:t>
      </w:r>
      <w:r>
        <w:rPr>
          <w:rFonts w:hint="default" w:ascii="Times New Roman" w:hAnsi="Times New Roman" w:cs="Times New Roman"/>
          <w:color w:val="auto"/>
        </w:rPr>
        <w:t>制定，可细化敏感区域的管理要求，补全噪声污染防治链条。</w:t>
      </w:r>
    </w:p>
    <w:p w14:paraId="4CD29286">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解决噪声扰民问题的迫切需求</w:t>
      </w:r>
    </w:p>
    <w:p w14:paraId="69A1D3A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噪声投诉长期居高不下，尤其是医院、学校、居住区等敏感区域矛盾显著。通过科学划定敏感区域，可针对性实施隔声屏障、限行限速、施工时段管控等措施，从源头减少纠纷。</w:t>
      </w:r>
    </w:p>
    <w:p w14:paraId="6109CBA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适应国土空间规划与城市发展的动态需求</w:t>
      </w:r>
    </w:p>
    <w:p w14:paraId="4FD6FC91">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噪声敏感建筑物集中区域的划定需与国土空间规划、用地性质变更及城市建设动态衔接。在全市范围内建立统一的划定技术规范可避免规划冲突，提升城市管理的科学性和前瞻性。</w:t>
      </w:r>
    </w:p>
    <w:p w14:paraId="2B3A1C69">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促进多部门协同治理的规范化</w:t>
      </w:r>
    </w:p>
    <w:p w14:paraId="564FB783">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噪声污染防治涉及生态环境、住建、交通、公安等多部门职责。制定《技术规范》可通过明确划分流程、数据标准、成果要求（如区块划定方法、成果图集制图说明等）及管理要求，建立跨部门协作框架，减少职能交叉或监管盲区。</w:t>
      </w:r>
    </w:p>
    <w:p w14:paraId="3200FD0B">
      <w:pPr>
        <w:pStyle w:val="5"/>
        <w:spacing w:before="0" w:after="0" w:line="580" w:lineRule="exact"/>
        <w:ind w:firstLine="643"/>
        <w:rPr>
          <w:rFonts w:hint="default" w:ascii="Times New Roman" w:hAnsi="Times New Roman" w:eastAsia="方正仿宋_GBK" w:cs="Times New Roman"/>
          <w:color w:val="auto"/>
        </w:rPr>
      </w:pPr>
      <w:bookmarkStart w:id="4" w:name="_Toc14610"/>
      <w:r>
        <w:rPr>
          <w:rFonts w:hint="default" w:ascii="Times New Roman" w:hAnsi="Times New Roman" w:eastAsia="方正仿宋_GBK" w:cs="Times New Roman"/>
          <w:color w:val="auto"/>
        </w:rPr>
        <w:t>1.3制定标准的可行性分析</w:t>
      </w:r>
      <w:bookmarkEnd w:id="4"/>
    </w:p>
    <w:p w14:paraId="25D03E5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技术基础成熟</w:t>
      </w:r>
    </w:p>
    <w:p w14:paraId="742F3C6C">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现有标准支撑：GB 3096、GB/T 15190等标准已为声环境功能区划提供了技术依据，而南京市秦淮区及鼓楼、雨花、栖霞等区开展的噪声敏感建筑物集中区域划定工作进一步验证了敏感区域划分的技术路径，如划分原则、资料收集与踏勘流程、成果图集编制方法等。</w:t>
      </w:r>
    </w:p>
    <w:p w14:paraId="3898DE73">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color w:val="auto"/>
        </w:rPr>
      </w:pPr>
      <w:r>
        <w:rPr>
          <w:rFonts w:hint="default" w:ascii="Times New Roman" w:hAnsi="Times New Roman" w:cs="Times New Roman"/>
          <w:b w:val="0"/>
          <w:bCs w:val="0"/>
          <w:color w:val="auto"/>
        </w:rPr>
        <w:t>数据资源整合：现代地</w:t>
      </w:r>
      <w:r>
        <w:rPr>
          <w:rFonts w:hint="default" w:ascii="Times New Roman" w:hAnsi="Times New Roman" w:cs="Times New Roman"/>
          <w:color w:val="auto"/>
        </w:rPr>
        <w:t>理信息系统（GIS）、遥感影像及国土变更调查数据为精准划定提供了数据基础，结合实地踏勘和航拍技术，可实现高精度动态管理。</w:t>
      </w:r>
    </w:p>
    <w:p w14:paraId="45B68412">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管理经验积累</w:t>
      </w:r>
    </w:p>
    <w:p w14:paraId="6A50365C">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地方试点经验：目前河南省已发布相关划分技术规范，其编制说明和操作流程可为南京市编制地方规范提供参考。</w:t>
      </w:r>
    </w:p>
    <w:p w14:paraId="1D9F7D31">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监管能力提升：多地生态环境部门已建立噪声监测网络，配备自动监测设备，并开展重点噪声源监管，为</w:t>
      </w:r>
      <w:r>
        <w:rPr>
          <w:rFonts w:hint="eastAsia" w:cs="Times New Roman"/>
          <w:color w:val="auto"/>
          <w:lang w:eastAsia="zh-CN"/>
        </w:rPr>
        <w:t>规范</w:t>
      </w:r>
      <w:r>
        <w:rPr>
          <w:rFonts w:hint="default" w:ascii="Times New Roman" w:hAnsi="Times New Roman" w:cs="Times New Roman"/>
          <w:color w:val="auto"/>
        </w:rPr>
        <w:t>的执行提供了技术保障。</w:t>
      </w:r>
    </w:p>
    <w:p w14:paraId="2D3AF48A">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政策与法律环境支持</w:t>
      </w:r>
    </w:p>
    <w:p w14:paraId="5D973F4E">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新噪声法”进一步强化了噪声敏感建筑物集中区域的保护要求，为《技术规范》的编制提供了上位法依据。国家及省级层面明确要求加强噪声敏感建筑物集中区域划定工作。生态环境部将其列为第一批噪声污染防治试点工作，要求在7 省（自治区、直辖市）10市（区）开展试点，江苏省南京市位列其中。</w:t>
      </w:r>
    </w:p>
    <w:p w14:paraId="7B01C161">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社会共识及支持</w:t>
      </w:r>
    </w:p>
    <w:p w14:paraId="48722639">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近年来，公众对安静环境的需求日益增强，美丽中国、宁静小区、宁静城市等政策及理念的推出支撑了噪声敏感建筑物集中区域划定工作的社会支持。</w:t>
      </w:r>
    </w:p>
    <w:p w14:paraId="5D739C80">
      <w:pPr>
        <w:pStyle w:val="5"/>
        <w:pageBreakBefore w:val="0"/>
        <w:widowControl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color w:val="auto"/>
        </w:rPr>
      </w:pPr>
      <w:bookmarkStart w:id="5" w:name="_Toc22632"/>
      <w:r>
        <w:rPr>
          <w:rFonts w:hint="default" w:ascii="Times New Roman" w:hAnsi="Times New Roman" w:eastAsia="方正仿宋_GBK" w:cs="Times New Roman"/>
          <w:color w:val="auto"/>
        </w:rPr>
        <w:t>1.4制定标准的预期经济社会效益</w:t>
      </w:r>
      <w:bookmarkEnd w:id="5"/>
    </w:p>
    <w:p w14:paraId="1CD78955">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经济效益</w:t>
      </w:r>
    </w:p>
    <w:p w14:paraId="724F325E">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1、精准治理，减少重复投入：通过科学划定敏感区域，可针对性地采取隔声屏障、低噪声路面、绿化降噪等措施，避免“一刀切”式治理造成的资源浪费。例如，在交通干线两侧划定敏感区后，仅需对特定路段进行降噪改造，而非全线铺开，大幅节约工程成本。</w:t>
      </w:r>
    </w:p>
    <w:p w14:paraId="2F5DB8AD">
      <w:pPr>
        <w:pageBreakBefore w:val="0"/>
        <w:widowControl w:val="0"/>
        <w:kinsoku/>
        <w:wordWrap/>
        <w:overflowPunct/>
        <w:topLinePunct w:val="0"/>
        <w:autoSpaceDE/>
        <w:autoSpaceDN/>
        <w:bidi w:val="0"/>
        <w:adjustRightInd/>
        <w:snapToGrid/>
        <w:spacing w:line="560" w:lineRule="exact"/>
        <w:ind w:firstLine="643"/>
        <w:textAlignment w:val="auto"/>
        <w:rPr>
          <w:rFonts w:hint="eastAsia" w:ascii="Times New Roman" w:hAnsi="Times New Roman" w:eastAsia="方正仿宋_GBK" w:cs="Times New Roman"/>
          <w:b w:val="0"/>
          <w:bCs w:val="0"/>
          <w:color w:val="auto"/>
          <w:lang w:eastAsia="zh-CN"/>
        </w:rPr>
      </w:pPr>
      <w:r>
        <w:rPr>
          <w:rFonts w:hint="default" w:ascii="Times New Roman" w:hAnsi="Times New Roman" w:cs="Times New Roman"/>
          <w:b w:val="0"/>
          <w:bCs w:val="0"/>
          <w:color w:val="auto"/>
        </w:rPr>
        <w:t>2、预防性规划，减少后期费用：将噪声敏感建筑物集中区域纳入国土空间规划和建设项目审批环节，可从源头避免噪声污染问题，减少后期因噪声纠纷导致的建筑改造、赔偿等额外支出</w:t>
      </w:r>
      <w:r>
        <w:rPr>
          <w:rFonts w:hint="eastAsia" w:cs="Times New Roman"/>
          <w:b w:val="0"/>
          <w:bCs w:val="0"/>
          <w:color w:val="auto"/>
          <w:lang w:eastAsia="zh-CN"/>
        </w:rPr>
        <w:t>。</w:t>
      </w:r>
    </w:p>
    <w:p w14:paraId="76A0D87A">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3、提升消费体验，增强区域活力：噪声敏感建筑物集中区域的划定可改善居住环境质量，尤其对学校、医院、居住区周边的噪声管控，能显著提升周边经济价值。商业区、文旅区的噪声控制可提升消费体验，吸引更多人流和投资，促进商业繁荣和旅游业发展。</w:t>
      </w:r>
    </w:p>
    <w:p w14:paraId="6836C4FC">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b w:val="0"/>
          <w:bCs w:val="0"/>
          <w:color w:val="auto"/>
        </w:rPr>
        <w:t>4、推动环保产业发展：《规范》的实施将催生对低噪声技术、隔音材料、智能监测设备的需求，促进相关</w:t>
      </w:r>
      <w:r>
        <w:rPr>
          <w:rFonts w:hint="default" w:ascii="Times New Roman" w:hAnsi="Times New Roman" w:cs="Times New Roman"/>
          <w:color w:val="auto"/>
        </w:rPr>
        <w:t>环保产业的市场拓展和技术升级。</w:t>
      </w:r>
    </w:p>
    <w:p w14:paraId="4367A59D">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社会效益</w:t>
      </w:r>
    </w:p>
    <w:p w14:paraId="09AE54E7">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1、改善居民健康与生活质量：相关文献资料显示：长期暴露于噪声环境会导致心血管疾病、睡眠障碍、认知能力下降等健康问题。通过划定噪声敏感建筑物集中区域并实施降噪措施，可有效减少相关疾病的发病率。学校、医院等敏感区域的安静环境有助于提升教育质量、医疗效率和居民幸福感。</w:t>
      </w:r>
    </w:p>
    <w:p w14:paraId="73A78AEB">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2、减少社会矛盾与法律纠纷：</w:t>
      </w:r>
      <w:r>
        <w:rPr>
          <w:rFonts w:hint="default" w:ascii="Times New Roman" w:hAnsi="Times New Roman" w:cs="Times New Roman"/>
          <w:b w:val="0"/>
          <w:bCs w:val="0"/>
          <w:color w:val="auto"/>
        </w:rPr>
        <w:tab/>
      </w:r>
      <w:r>
        <w:rPr>
          <w:rFonts w:hint="default" w:ascii="Times New Roman" w:hAnsi="Times New Roman" w:cs="Times New Roman"/>
          <w:b w:val="0"/>
          <w:bCs w:val="0"/>
          <w:color w:val="auto"/>
        </w:rPr>
        <w:t>通过明确敏感区域边界和管理要求，可为噪声排放方与受扰方提供清晰的权责划分依据，减少因噪声引发的邻里纠纷、群体性事件和诉讼案件，维护社会和谐稳定。</w:t>
      </w:r>
    </w:p>
    <w:p w14:paraId="538370D6">
      <w:pPr>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b w:val="0"/>
          <w:bCs w:val="0"/>
          <w:color w:val="auto"/>
        </w:rPr>
      </w:pPr>
      <w:r>
        <w:rPr>
          <w:rFonts w:hint="default" w:ascii="Times New Roman" w:hAnsi="Times New Roman" w:cs="Times New Roman"/>
          <w:b w:val="0"/>
          <w:bCs w:val="0"/>
          <w:color w:val="auto"/>
        </w:rPr>
        <w:t>3、促进城市精细化与可持续发展：推动噪声敏感建筑物集中区域与国土空间规划、交通规划、建筑设计等协同管理，提升城市功能分区的科学性和宜居性</w:t>
      </w:r>
      <w:r>
        <w:rPr>
          <w:rFonts w:hint="eastAsia" w:cs="Times New Roman"/>
          <w:b w:val="0"/>
          <w:bCs w:val="0"/>
          <w:color w:val="auto"/>
          <w:lang w:eastAsia="zh-CN"/>
        </w:rPr>
        <w:t>，</w:t>
      </w:r>
      <w:r>
        <w:rPr>
          <w:rFonts w:hint="default" w:ascii="Times New Roman" w:hAnsi="Times New Roman" w:cs="Times New Roman"/>
          <w:b w:val="0"/>
          <w:bCs w:val="0"/>
          <w:color w:val="auto"/>
        </w:rPr>
        <w:t>为经济转型升级提供环境支撑。</w:t>
      </w:r>
    </w:p>
    <w:p w14:paraId="5A6D003A">
      <w:pPr>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color w:val="auto"/>
        </w:rPr>
      </w:pPr>
      <w:r>
        <w:rPr>
          <w:rFonts w:hint="default" w:ascii="Times New Roman" w:hAnsi="Times New Roman" w:cs="Times New Roman"/>
          <w:b w:val="0"/>
          <w:bCs w:val="0"/>
          <w:color w:val="auto"/>
        </w:rPr>
        <w:t>4、助力国家生态文明与高质量发展战略：《规范》的编制与实施是落实</w:t>
      </w:r>
      <w:r>
        <w:rPr>
          <w:rFonts w:hint="default" w:ascii="Times New Roman" w:hAnsi="Times New Roman" w:cs="Times New Roman"/>
          <w:color w:val="auto"/>
        </w:rPr>
        <w:t>“新噪声法”</w:t>
      </w:r>
      <w:r>
        <w:rPr>
          <w:rFonts w:hint="eastAsia" w:cs="Times New Roman"/>
          <w:color w:val="auto"/>
          <w:lang w:eastAsia="zh-CN"/>
        </w:rPr>
        <w:t>等一系列法律法规政策文件的</w:t>
      </w:r>
      <w:r>
        <w:rPr>
          <w:rFonts w:hint="default" w:ascii="Times New Roman" w:hAnsi="Times New Roman" w:cs="Times New Roman"/>
          <w:color w:val="auto"/>
        </w:rPr>
        <w:t>重要举措，有助于实现“美丽中国”建设目标。</w:t>
      </w:r>
    </w:p>
    <w:p w14:paraId="0040C05A">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3"/>
        <w:textAlignment w:val="auto"/>
        <w:rPr>
          <w:rFonts w:hint="default" w:ascii="方正黑体_GBK" w:hAnsi="方正黑体_GBK" w:eastAsia="方正黑体_GBK" w:cs="方正黑体_GBK"/>
          <w:b w:val="0"/>
          <w:bCs w:val="0"/>
          <w:color w:val="auto"/>
        </w:rPr>
      </w:pPr>
      <w:bookmarkStart w:id="6" w:name="_Toc10693"/>
      <w:r>
        <w:rPr>
          <w:rFonts w:hint="default" w:ascii="方正黑体_GBK" w:hAnsi="方正黑体_GBK" w:eastAsia="方正黑体_GBK" w:cs="方正黑体_GBK"/>
          <w:b w:val="0"/>
          <w:bCs w:val="0"/>
          <w:color w:val="auto"/>
        </w:rPr>
        <w:t>二、任务来源</w:t>
      </w:r>
      <w:bookmarkEnd w:id="6"/>
    </w:p>
    <w:p w14:paraId="768536CD">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eastAsia" w:cs="Times New Roman"/>
          <w:color w:val="auto"/>
          <w:lang w:eastAsia="zh-CN"/>
        </w:rPr>
        <w:t>本项目来源于</w:t>
      </w:r>
      <w:r>
        <w:rPr>
          <w:rFonts w:hint="default" w:ascii="Times New Roman" w:hAnsi="Times New Roman" w:cs="Times New Roman"/>
          <w:color w:val="auto"/>
        </w:rPr>
        <w:t>2024年10月南京市市场监督管理局《关于下达2024年度南京市地方标准制修订计划的通知》（宁市监标〔2024〕119号）</w:t>
      </w:r>
      <w:r>
        <w:rPr>
          <w:rFonts w:hint="eastAsia" w:cs="Times New Roman"/>
          <w:color w:val="auto"/>
          <w:lang w:eastAsia="zh-CN"/>
        </w:rPr>
        <w:t>。该标准由南京市生态环境局提出，</w:t>
      </w:r>
      <w:r>
        <w:rPr>
          <w:rFonts w:hint="default" w:ascii="Times New Roman" w:hAnsi="Times New Roman" w:cs="Times New Roman"/>
          <w:color w:val="auto"/>
        </w:rPr>
        <w:t>南京市生态环境保护科学研究院、南京市生态环境局、江苏省环境工程技术有限公司、南京市秦淮生态环境局、南京市秦淮生态环境监测监控中心</w:t>
      </w:r>
      <w:r>
        <w:rPr>
          <w:rFonts w:hint="eastAsia" w:cs="Times New Roman"/>
          <w:color w:val="auto"/>
          <w:lang w:eastAsia="zh-CN"/>
        </w:rPr>
        <w:t>共同参与起草</w:t>
      </w:r>
      <w:r>
        <w:rPr>
          <w:rFonts w:hint="default" w:ascii="Times New Roman" w:hAnsi="Times New Roman" w:cs="Times New Roman"/>
          <w:color w:val="auto"/>
        </w:rPr>
        <w:t>。</w:t>
      </w:r>
      <w:bookmarkStart w:id="7" w:name="_Toc22145"/>
    </w:p>
    <w:p w14:paraId="44C50236">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3"/>
        <w:textAlignment w:val="auto"/>
        <w:rPr>
          <w:rFonts w:hint="default" w:ascii="方正黑体_GBK" w:hAnsi="方正黑体_GBK" w:eastAsia="方正黑体_GBK" w:cs="方正黑体_GBK"/>
          <w:b w:val="0"/>
          <w:bCs w:val="0"/>
          <w:color w:val="auto"/>
        </w:rPr>
      </w:pPr>
      <w:r>
        <w:rPr>
          <w:rFonts w:hint="default" w:ascii="方正黑体_GBK" w:hAnsi="方正黑体_GBK" w:eastAsia="方正黑体_GBK" w:cs="方正黑体_GBK"/>
          <w:b w:val="0"/>
          <w:bCs w:val="0"/>
          <w:color w:val="auto"/>
        </w:rPr>
        <w:t>三、编制过程</w:t>
      </w:r>
      <w:bookmarkEnd w:id="7"/>
    </w:p>
    <w:p w14:paraId="2A9BCA93">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eastAsia" w:cs="Times New Roman"/>
          <w:color w:val="auto"/>
          <w:lang w:eastAsia="zh-CN"/>
        </w:rPr>
        <w:t>标准编制组</w:t>
      </w:r>
      <w:r>
        <w:rPr>
          <w:rFonts w:hint="default" w:ascii="Times New Roman" w:hAnsi="Times New Roman" w:cs="Times New Roman"/>
          <w:color w:val="auto"/>
        </w:rPr>
        <w:t>严格遵循国家和地方相关法律法规的要求，以科学性、实用性和可操作性为总体原则，充分参照相关技术规范和行业标准，确保标准的制定既符合上位法的规定，又能结合地方实际需求，体现区域特色，为环境噪声污染防治提供切实可行的技术支撑和管理依据。主要编制过程如下：</w:t>
      </w:r>
    </w:p>
    <w:p w14:paraId="73F9A8A7">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第一阶段：前期研究及基础准备</w:t>
      </w:r>
    </w:p>
    <w:p w14:paraId="10A6D5E4">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1、政策与标准梳理：系统收集国内外噪声污染防治相关法律法规、技术标准（如GB 3096、GB/T 15190）及地方管理文件（如河南省</w:t>
      </w:r>
      <w:r>
        <w:rPr>
          <w:rFonts w:hint="eastAsia" w:cs="Times New Roman"/>
          <w:color w:val="auto"/>
          <w:lang w:eastAsia="zh-CN"/>
        </w:rPr>
        <w:t>地标</w:t>
      </w:r>
      <w:r>
        <w:rPr>
          <w:rFonts w:hint="default" w:ascii="Times New Roman" w:hAnsi="Times New Roman" w:cs="Times New Roman"/>
          <w:color w:val="auto"/>
        </w:rPr>
        <w:t>DB41/T 2670-2024</w:t>
      </w:r>
      <w:r>
        <w:rPr>
          <w:rFonts w:hint="eastAsia" w:cs="Times New Roman"/>
          <w:color w:val="auto"/>
          <w:lang w:eastAsia="zh-CN"/>
        </w:rPr>
        <w:t>）</w:t>
      </w:r>
      <w:r>
        <w:rPr>
          <w:rFonts w:hint="default" w:ascii="Times New Roman" w:hAnsi="Times New Roman" w:cs="Times New Roman"/>
          <w:color w:val="auto"/>
        </w:rPr>
        <w:t>。</w:t>
      </w:r>
    </w:p>
    <w:p w14:paraId="69C5BF41">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2、团队组建与计划制定：</w:t>
      </w:r>
      <w:r>
        <w:rPr>
          <w:rFonts w:hint="eastAsia" w:cs="Times New Roman"/>
          <w:color w:val="auto"/>
          <w:lang w:eastAsia="zh-CN"/>
        </w:rPr>
        <w:t>明确标准编制单位及职责分工，</w:t>
      </w:r>
      <w:r>
        <w:rPr>
          <w:rFonts w:hint="default" w:ascii="Times New Roman" w:hAnsi="Times New Roman" w:cs="Times New Roman"/>
          <w:color w:val="auto"/>
        </w:rPr>
        <w:t>形成跨部门技术团队，并制定详细的时间节点与任务清单。</w:t>
      </w:r>
    </w:p>
    <w:p w14:paraId="67F15AD8">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第二阶段：基础资料收集与处理</w:t>
      </w:r>
    </w:p>
    <w:p w14:paraId="5C55B405">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1、多源数据整合：收集国土空间规划、声环境功能区划、遥感影像、年度国土变更调查成果、建筑用地红线等地理信息数据；获取人口密度、噪声投诉情况、噪声监测历史数据等声环境管理基础资料。</w:t>
      </w:r>
    </w:p>
    <w:p w14:paraId="18575689">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2、数据标准化处理：对资料进行数字化整理，建立统一的GIS</w:t>
      </w:r>
      <w:r>
        <w:rPr>
          <w:rFonts w:hint="eastAsia" w:cs="Times New Roman"/>
          <w:color w:val="auto"/>
          <w:lang w:eastAsia="zh-CN"/>
        </w:rPr>
        <w:t>基础</w:t>
      </w:r>
      <w:r>
        <w:rPr>
          <w:rFonts w:hint="default" w:ascii="Times New Roman" w:hAnsi="Times New Roman" w:cs="Times New Roman"/>
          <w:color w:val="auto"/>
        </w:rPr>
        <w:t>数据库，确保空间数据与属性数据匹配。</w:t>
      </w:r>
    </w:p>
    <w:p w14:paraId="69AA9354">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第三阶段：现状调查及踏勘验证</w:t>
      </w:r>
    </w:p>
    <w:p w14:paraId="7B0555A1">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1、实地踏勘：结合无人机航拍、声环境监测设备等技术手段，核实建筑物功能、噪声源分布及边界标志物。重点排查混合功能区（如居住与商业混杂区域）的噪声敏感性与矛盾点。</w:t>
      </w:r>
    </w:p>
    <w:p w14:paraId="6D296B7A">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2、问题识别：通过现场核查，识别不符合技术要求的区域。</w:t>
      </w:r>
    </w:p>
    <w:p w14:paraId="7C7CB566">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第四阶段：规范研究制定</w:t>
      </w:r>
    </w:p>
    <w:p w14:paraId="089B5DEF">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分析现有规范存</w:t>
      </w:r>
      <w:r>
        <w:rPr>
          <w:rFonts w:hint="eastAsia" w:cs="Times New Roman"/>
          <w:color w:val="auto"/>
          <w:lang w:eastAsia="zh-CN"/>
        </w:rPr>
        <w:t>在的</w:t>
      </w:r>
      <w:r>
        <w:rPr>
          <w:rFonts w:hint="default" w:ascii="Times New Roman" w:hAnsi="Times New Roman" w:cs="Times New Roman"/>
          <w:color w:val="auto"/>
        </w:rPr>
        <w:t>主要问题</w:t>
      </w:r>
      <w:r>
        <w:rPr>
          <w:rFonts w:hint="eastAsia" w:cs="Times New Roman"/>
          <w:color w:val="auto"/>
          <w:lang w:eastAsia="zh-CN"/>
        </w:rPr>
        <w:t>，</w:t>
      </w:r>
      <w:r>
        <w:rPr>
          <w:rFonts w:hint="default" w:ascii="Times New Roman" w:hAnsi="Times New Roman" w:cs="Times New Roman"/>
          <w:color w:val="auto"/>
        </w:rPr>
        <w:t>综合在现状调研中发现的实际问题和技术需求，详细分析工作中的关键技术环节，研究制定技术规范中的关键实施步骤和具体方法。其中关键点为噪声敏感建筑物集中区域划分单元边界的确定方法</w:t>
      </w:r>
      <w:r>
        <w:rPr>
          <w:rFonts w:hint="eastAsia" w:cs="Times New Roman"/>
          <w:color w:val="auto"/>
          <w:lang w:eastAsia="zh-CN"/>
        </w:rPr>
        <w:t>及一二类噪声敏感建筑物噪声达标距离</w:t>
      </w:r>
      <w:r>
        <w:rPr>
          <w:rFonts w:hint="default" w:ascii="Times New Roman" w:hAnsi="Times New Roman" w:cs="Times New Roman"/>
          <w:color w:val="auto"/>
        </w:rPr>
        <w:t>论证。在各类资料整理及统计分析的基础上，形成该标准规范</w:t>
      </w:r>
      <w:r>
        <w:rPr>
          <w:rFonts w:hint="eastAsia" w:cs="Times New Roman"/>
          <w:color w:val="auto"/>
          <w:lang w:eastAsia="zh-CN"/>
        </w:rPr>
        <w:t>草案</w:t>
      </w:r>
      <w:r>
        <w:rPr>
          <w:rFonts w:hint="default" w:ascii="Times New Roman" w:hAnsi="Times New Roman" w:cs="Times New Roman"/>
          <w:color w:val="auto"/>
        </w:rPr>
        <w:t>。</w:t>
      </w:r>
    </w:p>
    <w:p w14:paraId="2411DCF7">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w:t>
      </w:r>
      <w:r>
        <w:rPr>
          <w:rFonts w:hint="eastAsia" w:cs="Times New Roman"/>
          <w:b/>
          <w:bCs/>
          <w:color w:val="auto"/>
          <w:lang w:eastAsia="zh-CN"/>
        </w:rPr>
        <w:t>五</w:t>
      </w:r>
      <w:r>
        <w:rPr>
          <w:rFonts w:hint="default" w:ascii="Times New Roman" w:hAnsi="Times New Roman" w:cs="Times New Roman"/>
          <w:b/>
          <w:bCs/>
          <w:color w:val="auto"/>
        </w:rPr>
        <w:t>阶段：专家论证</w:t>
      </w:r>
    </w:p>
    <w:p w14:paraId="77C02576">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eastAsia" w:cs="Times New Roman"/>
          <w:color w:val="auto"/>
          <w:lang w:val="en-US" w:eastAsia="zh-CN"/>
        </w:rPr>
        <w:t>2025年5月8日，市环科院邀请行业内专家对标准草案开展了</w:t>
      </w:r>
      <w:r>
        <w:rPr>
          <w:rFonts w:hint="default" w:ascii="Times New Roman" w:hAnsi="Times New Roman" w:cs="Times New Roman"/>
          <w:color w:val="auto"/>
        </w:rPr>
        <w:t>专业、权威的技术评估，确保划定</w:t>
      </w:r>
      <w:r>
        <w:rPr>
          <w:rFonts w:hint="eastAsia" w:cs="Times New Roman"/>
          <w:color w:val="auto"/>
          <w:lang w:eastAsia="zh-CN"/>
        </w:rPr>
        <w:t>原则、方法、程序是否</w:t>
      </w:r>
      <w:r>
        <w:rPr>
          <w:rFonts w:hint="default" w:ascii="Times New Roman" w:hAnsi="Times New Roman" w:cs="Times New Roman"/>
          <w:color w:val="auto"/>
        </w:rPr>
        <w:t>符合声学、地理信息、城市规划等领域的技术规范</w:t>
      </w:r>
      <w:r>
        <w:rPr>
          <w:rFonts w:hint="eastAsia" w:cs="Times New Roman"/>
          <w:color w:val="auto"/>
          <w:lang w:eastAsia="zh-CN"/>
        </w:rPr>
        <w:t>，是否具有可操作性</w:t>
      </w:r>
      <w:r>
        <w:rPr>
          <w:rFonts w:hint="default" w:ascii="Times New Roman" w:hAnsi="Times New Roman" w:cs="Times New Roman"/>
          <w:color w:val="auto"/>
        </w:rPr>
        <w:t>。根据专家意见</w:t>
      </w:r>
      <w:r>
        <w:rPr>
          <w:rFonts w:hint="eastAsia" w:cs="Times New Roman"/>
          <w:color w:val="auto"/>
          <w:lang w:eastAsia="zh-CN"/>
        </w:rPr>
        <w:t>进一步修改</w:t>
      </w:r>
      <w:r>
        <w:rPr>
          <w:rFonts w:hint="default" w:ascii="Times New Roman" w:hAnsi="Times New Roman" w:cs="Times New Roman"/>
          <w:color w:val="auto"/>
        </w:rPr>
        <w:t>，</w:t>
      </w:r>
      <w:r>
        <w:rPr>
          <w:rFonts w:hint="eastAsia" w:cs="Times New Roman"/>
          <w:color w:val="auto"/>
          <w:lang w:eastAsia="zh-CN"/>
        </w:rPr>
        <w:t>于</w:t>
      </w:r>
      <w:r>
        <w:rPr>
          <w:rFonts w:hint="eastAsia" w:cs="Times New Roman"/>
          <w:color w:val="auto"/>
          <w:lang w:val="en-US" w:eastAsia="zh-CN"/>
        </w:rPr>
        <w:t>6月初</w:t>
      </w:r>
      <w:r>
        <w:rPr>
          <w:rFonts w:hint="default" w:ascii="Times New Roman" w:hAnsi="Times New Roman" w:cs="Times New Roman"/>
          <w:color w:val="auto"/>
        </w:rPr>
        <w:t>完成标准</w:t>
      </w:r>
      <w:r>
        <w:rPr>
          <w:rFonts w:hint="eastAsia" w:cs="Times New Roman"/>
          <w:color w:val="auto"/>
          <w:lang w:eastAsia="zh-CN"/>
        </w:rPr>
        <w:t>及编制说明征求意见稿</w:t>
      </w:r>
      <w:r>
        <w:rPr>
          <w:rFonts w:hint="default" w:ascii="Times New Roman" w:hAnsi="Times New Roman" w:cs="Times New Roman"/>
          <w:color w:val="auto"/>
        </w:rPr>
        <w:t>。</w:t>
      </w:r>
    </w:p>
    <w:p w14:paraId="3897DD65">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w:t>
      </w:r>
      <w:r>
        <w:rPr>
          <w:rFonts w:hint="eastAsia" w:cs="Times New Roman"/>
          <w:b/>
          <w:bCs/>
          <w:color w:val="auto"/>
          <w:lang w:eastAsia="zh-CN"/>
        </w:rPr>
        <w:t>六</w:t>
      </w:r>
      <w:r>
        <w:rPr>
          <w:rFonts w:hint="default" w:ascii="Times New Roman" w:hAnsi="Times New Roman" w:cs="Times New Roman"/>
          <w:b/>
          <w:bCs/>
          <w:color w:val="auto"/>
        </w:rPr>
        <w:t>阶段：意见征求阶段</w:t>
      </w:r>
    </w:p>
    <w:p w14:paraId="246B9CF4">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征求意见阶段是确保标准科学性、合理性和可操作性的关键环节。明确征求意见的范围，包括标准的技术内容、管理要求、实施方法等。采用网络征求意见，将意见按技术内容、管理要求、文字表述等分类整理。逐条分析意见的合理性、可行性，提出采纳或不采纳的理由。通过以上内容的系统梳理，可以确保征求意见阶段全面覆盖标准的技术、管理和实施要求，为标准后续的评审和发布奠定坚实基础。</w:t>
      </w:r>
    </w:p>
    <w:p w14:paraId="08277ABA">
      <w:pPr>
        <w:pStyle w:val="83"/>
        <w:keepNext w:val="0"/>
        <w:keepLines w:val="0"/>
        <w:pageBreakBefore w:val="0"/>
        <w:widowControl w:val="0"/>
        <w:kinsoku/>
        <w:wordWrap/>
        <w:overflowPunct/>
        <w:topLinePunct w:val="0"/>
        <w:autoSpaceDE/>
        <w:autoSpaceDN/>
        <w:bidi w:val="0"/>
        <w:adjustRightInd/>
        <w:snapToGrid/>
        <w:spacing w:line="560" w:lineRule="exact"/>
        <w:ind w:firstLine="643"/>
        <w:textAlignment w:val="auto"/>
        <w:rPr>
          <w:rFonts w:hint="default" w:ascii="Times New Roman" w:hAnsi="Times New Roman" w:cs="Times New Roman"/>
          <w:b/>
          <w:bCs/>
          <w:color w:val="auto"/>
        </w:rPr>
      </w:pPr>
      <w:r>
        <w:rPr>
          <w:rFonts w:hint="default" w:ascii="Times New Roman" w:hAnsi="Times New Roman" w:cs="Times New Roman"/>
          <w:b/>
          <w:bCs/>
          <w:color w:val="auto"/>
        </w:rPr>
        <w:t>第七阶段：标准审查</w:t>
      </w:r>
    </w:p>
    <w:p w14:paraId="17BD1CDC">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由标准化管理机构组织有关专家或专业技术人员，依据有关标准、规范、文件的标准化要求，对标准进行分析、论证。审查标准的合规性、技术科学性、文本规范性，确保技术规范具备法律效力、技术权威性和实施可行性，为噪声敏感区域的管理提供可靠依据。</w:t>
      </w:r>
      <w:bookmarkStart w:id="8" w:name="_Toc8453"/>
    </w:p>
    <w:p w14:paraId="4ED59EA6">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3"/>
        <w:textAlignment w:val="auto"/>
        <w:rPr>
          <w:rFonts w:hint="default" w:ascii="方正黑体_GBK" w:hAnsi="方正黑体_GBK" w:eastAsia="方正黑体_GBK" w:cs="方正黑体_GBK"/>
          <w:b w:val="0"/>
          <w:bCs w:val="0"/>
          <w:color w:val="auto"/>
        </w:rPr>
      </w:pPr>
      <w:r>
        <w:rPr>
          <w:rFonts w:hint="default" w:ascii="方正黑体_GBK" w:hAnsi="方正黑体_GBK" w:eastAsia="方正黑体_GBK" w:cs="方正黑体_GBK"/>
          <w:b w:val="0"/>
          <w:bCs w:val="0"/>
          <w:color w:val="auto"/>
        </w:rPr>
        <w:t>四、主要内容技术指标确立</w:t>
      </w:r>
      <w:bookmarkEnd w:id="8"/>
    </w:p>
    <w:p w14:paraId="303475C9">
      <w:pPr>
        <w:pStyle w:val="5"/>
        <w:spacing w:before="0" w:after="0" w:line="580" w:lineRule="exact"/>
        <w:ind w:firstLine="643"/>
        <w:rPr>
          <w:rFonts w:hint="default" w:ascii="Times New Roman" w:hAnsi="Times New Roman" w:eastAsia="方正仿宋_GBK" w:cs="Times New Roman"/>
          <w:color w:val="auto"/>
        </w:rPr>
      </w:pPr>
      <w:bookmarkStart w:id="9" w:name="_Toc30148"/>
      <w:r>
        <w:rPr>
          <w:rFonts w:hint="default" w:ascii="Times New Roman" w:hAnsi="Times New Roman" w:eastAsia="方正仿宋_GBK" w:cs="Times New Roman"/>
          <w:color w:val="auto"/>
        </w:rPr>
        <w:t>4.1标准总体框架</w:t>
      </w:r>
      <w:bookmarkEnd w:id="9"/>
    </w:p>
    <w:p w14:paraId="09204228">
      <w:pPr>
        <w:pStyle w:val="8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本标准文件包括：前言、范围、规范性引用文件、术语和定义、总体原则、准备工作、划定方法、划定成果、专家评审及征求意见、公布实施、其他规定、参考文献和附录共</w:t>
      </w:r>
      <w:r>
        <w:rPr>
          <w:rFonts w:hint="eastAsia" w:cs="Times New Roman"/>
          <w:color w:val="auto"/>
          <w:szCs w:val="32"/>
          <w:lang w:val="en-US" w:eastAsia="zh-CN"/>
        </w:rPr>
        <w:t>13个</w:t>
      </w:r>
      <w:r>
        <w:rPr>
          <w:rFonts w:hint="default" w:ascii="Times New Roman" w:hAnsi="Times New Roman" w:cs="Times New Roman"/>
          <w:color w:val="auto"/>
          <w:szCs w:val="32"/>
        </w:rPr>
        <w:t>部分。</w:t>
      </w:r>
    </w:p>
    <w:p w14:paraId="59AD6817">
      <w:pPr>
        <w:pStyle w:val="5"/>
        <w:spacing w:before="0" w:after="0" w:line="580" w:lineRule="exact"/>
        <w:ind w:firstLine="643"/>
        <w:rPr>
          <w:rFonts w:hint="default" w:ascii="Times New Roman" w:hAnsi="Times New Roman" w:eastAsia="方正仿宋_GBK" w:cs="Times New Roman"/>
          <w:color w:val="auto"/>
        </w:rPr>
      </w:pPr>
      <w:bookmarkStart w:id="10" w:name="_Toc10067"/>
      <w:r>
        <w:rPr>
          <w:rFonts w:hint="default" w:ascii="Times New Roman" w:hAnsi="Times New Roman" w:eastAsia="方正仿宋_GBK" w:cs="Times New Roman"/>
          <w:color w:val="auto"/>
        </w:rPr>
        <w:t>4.2主要技术内容</w:t>
      </w:r>
      <w:bookmarkEnd w:id="10"/>
    </w:p>
    <w:p w14:paraId="79C59CD9">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1" w:name="_Toc23854"/>
      <w:r>
        <w:rPr>
          <w:rFonts w:hint="default" w:ascii="Times New Roman" w:hAnsi="Times New Roman" w:cs="Times New Roman"/>
          <w:color w:val="auto"/>
        </w:rPr>
        <w:t>4.2.1前言</w:t>
      </w:r>
      <w:bookmarkEnd w:id="11"/>
    </w:p>
    <w:p w14:paraId="56B1E1E4">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给出了本文件的起草规定、归口单位、起草单位和起草人。</w:t>
      </w:r>
    </w:p>
    <w:p w14:paraId="488BA84E">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2" w:name="_Toc3640"/>
      <w:r>
        <w:rPr>
          <w:rFonts w:hint="default" w:ascii="Times New Roman" w:hAnsi="Times New Roman" w:cs="Times New Roman"/>
          <w:color w:val="auto"/>
        </w:rPr>
        <w:t>4.2.2范围</w:t>
      </w:r>
      <w:bookmarkEnd w:id="12"/>
    </w:p>
    <w:p w14:paraId="1ECB9EC9">
      <w:pPr>
        <w:pStyle w:val="83"/>
        <w:pageBreakBefore w:val="0"/>
        <w:kinsoku/>
        <w:wordWrap/>
        <w:overflowPunct/>
        <w:topLinePunct w:val="0"/>
        <w:bidi w:val="0"/>
        <w:adjustRightInd/>
        <w:snapToGrid/>
        <w:spacing w:line="560" w:lineRule="exact"/>
        <w:ind w:firstLine="640"/>
        <w:textAlignment w:val="auto"/>
        <w:rPr>
          <w:rFonts w:hint="eastAsia" w:ascii="Times New Roman" w:hAnsi="Times New Roman" w:eastAsia="方正仿宋_GBK" w:cs="Times New Roman"/>
          <w:color w:val="auto"/>
          <w:szCs w:val="32"/>
          <w:lang w:eastAsia="zh-CN"/>
        </w:rPr>
      </w:pPr>
      <w:r>
        <w:rPr>
          <w:rFonts w:hint="default" w:ascii="Times New Roman" w:hAnsi="Times New Roman" w:cs="Times New Roman"/>
          <w:color w:val="auto"/>
          <w:szCs w:val="32"/>
        </w:rPr>
        <w:t>根据《新噪声法》要求：县级以上人民政府划定本辖区内噪声敏感建筑物集中区域，并向社会公布。本章节规定了噪声敏感建筑物集中区域划分（以下简称“区划”）的原则、依据、程序和方法。本规范文件适用于县级及以上行政区城镇开发边界范围内噪声敏感建筑物集中区域划定工作的开展、实施、调整及管理，城镇开发边界外噪声敏感建筑物集中区域的划定可参照使用。</w:t>
      </w:r>
    </w:p>
    <w:p w14:paraId="693EABF1">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3" w:name="_Toc11448"/>
      <w:r>
        <w:rPr>
          <w:rFonts w:hint="default" w:ascii="Times New Roman" w:hAnsi="Times New Roman" w:cs="Times New Roman"/>
          <w:color w:val="auto"/>
        </w:rPr>
        <w:t>4.2.3规范性引用文件</w:t>
      </w:r>
      <w:bookmarkEnd w:id="13"/>
    </w:p>
    <w:p w14:paraId="7C328E66">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本规范主要结合了声环境质量标准、声环境功能区划分技术规范、国土空间规划等</w:t>
      </w:r>
      <w:r>
        <w:rPr>
          <w:rFonts w:hint="eastAsia" w:cs="Times New Roman"/>
          <w:color w:val="auto"/>
          <w:szCs w:val="32"/>
          <w:lang w:eastAsia="zh-CN"/>
        </w:rPr>
        <w:t>行业规范性</w:t>
      </w:r>
      <w:r>
        <w:rPr>
          <w:rFonts w:hint="default" w:ascii="Times New Roman" w:hAnsi="Times New Roman" w:cs="Times New Roman"/>
          <w:color w:val="auto"/>
          <w:szCs w:val="32"/>
        </w:rPr>
        <w:t>要求，开展噪声敏感建筑物集中区域划定，主要为国家标准：《声环境质量标准》（GB 3096）和《声环境功能区划分技术规范》（GB/T 15190）。</w:t>
      </w:r>
    </w:p>
    <w:p w14:paraId="5FE43569">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4" w:name="_Toc15"/>
      <w:r>
        <w:rPr>
          <w:rFonts w:hint="default" w:ascii="Times New Roman" w:hAnsi="Times New Roman" w:cs="Times New Roman"/>
          <w:color w:val="auto"/>
        </w:rPr>
        <w:t>4.2.4术语和定义</w:t>
      </w:r>
      <w:bookmarkEnd w:id="14"/>
    </w:p>
    <w:p w14:paraId="534CF6A9">
      <w:pPr>
        <w:pStyle w:val="83"/>
        <w:pageBreakBefore w:val="0"/>
        <w:kinsoku/>
        <w:wordWrap/>
        <w:overflowPunct/>
        <w:topLinePunct w:val="0"/>
        <w:bidi w:val="0"/>
        <w:adjustRightInd/>
        <w:snapToGrid/>
        <w:spacing w:line="560" w:lineRule="exact"/>
        <w:ind w:firstLine="640"/>
        <w:textAlignment w:val="auto"/>
        <w:rPr>
          <w:rFonts w:hint="eastAsia" w:ascii="Times New Roman" w:hAnsi="Times New Roman" w:eastAsia="方正仿宋_GBK" w:cs="Times New Roman"/>
          <w:color w:val="auto"/>
          <w:szCs w:val="32"/>
          <w:lang w:eastAsia="zh-CN"/>
        </w:rPr>
      </w:pPr>
      <w:r>
        <w:rPr>
          <w:rFonts w:hint="default" w:ascii="Times New Roman" w:hAnsi="Times New Roman" w:cs="Times New Roman"/>
          <w:color w:val="auto"/>
          <w:szCs w:val="32"/>
        </w:rPr>
        <w:t>本规范对相关术语进行统一定义，具体规定了6个术语和定义</w:t>
      </w:r>
      <w:r>
        <w:rPr>
          <w:rFonts w:hint="eastAsia" w:cs="Times New Roman"/>
          <w:color w:val="auto"/>
          <w:szCs w:val="32"/>
          <w:lang w:eastAsia="zh-CN"/>
        </w:rPr>
        <w:t>。</w:t>
      </w:r>
    </w:p>
    <w:p w14:paraId="4C3949F2">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（1）噪声敏感建筑物</w:t>
      </w:r>
    </w:p>
    <w:p w14:paraId="4CD6AED1">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指用于居住、科学研究、医疗卫生、文化教育、机关团体办公、社会福利等需要保持安静的建筑物。</w:t>
      </w:r>
    </w:p>
    <w:p w14:paraId="62FD62F6">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w:t>
      </w:r>
      <w:r>
        <w:rPr>
          <w:rFonts w:hint="eastAsia" w:cs="Times New Roman"/>
          <w:color w:val="auto"/>
          <w:szCs w:val="32"/>
          <w:lang w:eastAsia="zh-CN"/>
        </w:rPr>
        <w:t>术语</w:t>
      </w:r>
      <w:r>
        <w:rPr>
          <w:rFonts w:hint="default" w:ascii="Times New Roman" w:hAnsi="Times New Roman" w:cs="Times New Roman"/>
          <w:color w:val="auto"/>
          <w:szCs w:val="32"/>
        </w:rPr>
        <w:t>定义</w:t>
      </w:r>
      <w:r>
        <w:rPr>
          <w:rFonts w:hint="eastAsia" w:cs="Times New Roman"/>
          <w:color w:val="auto"/>
          <w:szCs w:val="32"/>
          <w:lang w:eastAsia="zh-CN"/>
        </w:rPr>
        <w:t>来自</w:t>
      </w:r>
      <w:r>
        <w:rPr>
          <w:rFonts w:hint="default" w:ascii="Times New Roman" w:hAnsi="Times New Roman" w:cs="Times New Roman"/>
          <w:color w:val="auto"/>
          <w:szCs w:val="32"/>
        </w:rPr>
        <w:t>《新噪声法》</w:t>
      </w:r>
      <w:r>
        <w:rPr>
          <w:rFonts w:hint="eastAsia" w:cs="Times New Roman"/>
          <w:color w:val="auto"/>
          <w:szCs w:val="32"/>
          <w:lang w:eastAsia="zh-CN"/>
        </w:rPr>
        <w:t>原文</w:t>
      </w:r>
      <w:r>
        <w:rPr>
          <w:rFonts w:hint="default" w:ascii="Times New Roman" w:hAnsi="Times New Roman" w:cs="Times New Roman"/>
          <w:color w:val="auto"/>
          <w:szCs w:val="32"/>
        </w:rPr>
        <w:t>。</w:t>
      </w:r>
    </w:p>
    <w:p w14:paraId="2DCA6BCF">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（2）噪声敏感建筑物集中区域</w:t>
      </w:r>
    </w:p>
    <w:p w14:paraId="4996A204">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指用于居住、科学研究、医疗卫生、文化教育、机关团体办公、社会福利等的建筑物为主的区域。</w:t>
      </w:r>
    </w:p>
    <w:p w14:paraId="1C3A23A8">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w:t>
      </w:r>
      <w:r>
        <w:rPr>
          <w:rFonts w:hint="eastAsia" w:cs="Times New Roman"/>
          <w:color w:val="auto"/>
          <w:szCs w:val="32"/>
          <w:lang w:eastAsia="zh-CN"/>
        </w:rPr>
        <w:t>术语</w:t>
      </w:r>
      <w:r>
        <w:rPr>
          <w:rFonts w:hint="default" w:ascii="Times New Roman" w:hAnsi="Times New Roman" w:cs="Times New Roman"/>
          <w:color w:val="auto"/>
          <w:szCs w:val="32"/>
        </w:rPr>
        <w:t>定义</w:t>
      </w:r>
      <w:r>
        <w:rPr>
          <w:rFonts w:hint="eastAsia" w:cs="Times New Roman"/>
          <w:color w:val="auto"/>
          <w:szCs w:val="32"/>
          <w:lang w:eastAsia="zh-CN"/>
        </w:rPr>
        <w:t>来自</w:t>
      </w:r>
      <w:r>
        <w:rPr>
          <w:rFonts w:hint="default" w:ascii="Times New Roman" w:hAnsi="Times New Roman" w:cs="Times New Roman"/>
          <w:color w:val="auto"/>
          <w:szCs w:val="32"/>
        </w:rPr>
        <w:t>《新噪声法》</w:t>
      </w:r>
      <w:r>
        <w:rPr>
          <w:rFonts w:hint="eastAsia" w:cs="Times New Roman"/>
          <w:color w:val="auto"/>
          <w:szCs w:val="32"/>
          <w:lang w:eastAsia="zh-CN"/>
        </w:rPr>
        <w:t>原文</w:t>
      </w:r>
      <w:r>
        <w:rPr>
          <w:rFonts w:hint="default" w:ascii="Times New Roman" w:hAnsi="Times New Roman" w:cs="Times New Roman"/>
          <w:color w:val="auto"/>
          <w:szCs w:val="32"/>
        </w:rPr>
        <w:t>。</w:t>
      </w:r>
    </w:p>
    <w:p w14:paraId="1EDCBF54">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（3）城镇开发边界</w:t>
      </w:r>
    </w:p>
    <w:p w14:paraId="6C4AD564">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指一定时期内因城镇发展需要，可以集中进行城镇开发建设，以城镇功能为主的区域边界，涉及城市、建制镇以及各类开发区等。</w:t>
      </w:r>
    </w:p>
    <w:p w14:paraId="5CD8AF9B">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该术语引用自《省级国土空间规划编制技术规程》（GB/T 43214—2023），主要是为了明确划分</w:t>
      </w:r>
      <w:bookmarkStart w:id="15" w:name="_Hlk193267057"/>
      <w:r>
        <w:rPr>
          <w:rFonts w:hint="default" w:ascii="Times New Roman" w:hAnsi="Times New Roman" w:cs="Times New Roman"/>
          <w:color w:val="auto"/>
          <w:szCs w:val="32"/>
        </w:rPr>
        <w:t>噪声敏感建筑物集中区域</w:t>
      </w:r>
      <w:bookmarkEnd w:id="15"/>
      <w:r>
        <w:rPr>
          <w:rFonts w:hint="default" w:ascii="Times New Roman" w:hAnsi="Times New Roman" w:cs="Times New Roman"/>
          <w:color w:val="auto"/>
          <w:szCs w:val="32"/>
        </w:rPr>
        <w:t>应覆盖的范围。与《声环境功能区划分技术规范》（15190 -2014）进行对比，声环境功能区划应当覆盖城市规划区，由于国土空间规划发布后，目前主要依据为城镇开发边界，同时城镇地区人口分布密集，工业发达，噪声投诉数量及声环境改善诉求较高，因此噪声敏感建筑物集中区域划分的重点应当覆盖城镇开发边界，便于与国土空间规划相衔接。</w:t>
      </w:r>
    </w:p>
    <w:p w14:paraId="26333288">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（4）用地边界线</w:t>
      </w:r>
    </w:p>
    <w:p w14:paraId="2690F481">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指民用建筑实际占地投影的外部轮廓线。</w:t>
      </w:r>
    </w:p>
    <w:p w14:paraId="607880DF">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该术语暂无引用，</w:t>
      </w:r>
      <w:r>
        <w:rPr>
          <w:rFonts w:hint="eastAsia" w:cs="Times New Roman"/>
          <w:color w:val="auto"/>
          <w:szCs w:val="32"/>
          <w:lang w:eastAsia="zh-CN"/>
        </w:rPr>
        <w:t>编制组</w:t>
      </w:r>
      <w:r>
        <w:rPr>
          <w:rFonts w:hint="default" w:ascii="Times New Roman" w:hAnsi="Times New Roman" w:cs="Times New Roman"/>
          <w:color w:val="auto"/>
          <w:szCs w:val="32"/>
        </w:rPr>
        <w:t>参考《民用建筑设计统一标准》（GB50352—2019）中对用地红线的定义进行制定，主要是为了明确</w:t>
      </w:r>
      <w:r>
        <w:rPr>
          <w:rFonts w:hint="eastAsia" w:cs="Times New Roman"/>
          <w:color w:val="auto"/>
          <w:szCs w:val="32"/>
          <w:lang w:eastAsia="zh-CN"/>
        </w:rPr>
        <w:t>建筑物</w:t>
      </w:r>
      <w:r>
        <w:rPr>
          <w:rFonts w:hint="default" w:ascii="Times New Roman" w:hAnsi="Times New Roman" w:cs="Times New Roman"/>
          <w:color w:val="auto"/>
          <w:szCs w:val="32"/>
        </w:rPr>
        <w:t>的边界，在此基础上筛选出噪声敏感建筑物。</w:t>
      </w:r>
    </w:p>
    <w:p w14:paraId="64BFF3E1">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（5）交通线路</w:t>
      </w:r>
    </w:p>
    <w:p w14:paraId="32FBD8A7">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指铁路（铁路专用线除外）、高速公路、一级公路、二级公路、城市快速路、城市主干路、城市次干路、城市轨道交通线路（地面段）、内河航道等交通干线；三级和四级公路，城市支路和街弄里巷等城市道路组成的非交通干线。</w:t>
      </w:r>
    </w:p>
    <w:p w14:paraId="52A18DB6">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该术语主要参考《声环境质量标准》（GB 3096—2008），主要是为了明确划分单元和噪声敏感建筑物集中区域的边界。其中，小区或者单位的内部道路不作为交通线路。</w:t>
      </w:r>
    </w:p>
    <w:p w14:paraId="1F515DAA">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（6）划分单元</w:t>
      </w:r>
    </w:p>
    <w:p w14:paraId="0B7D4B18">
      <w:pPr>
        <w:pStyle w:val="100"/>
        <w:pageBreakBefore w:val="0"/>
        <w:kinsoku/>
        <w:wordWrap/>
        <w:overflowPunct/>
        <w:topLinePunct w:val="0"/>
        <w:bidi w:val="0"/>
        <w:adjustRightInd/>
        <w:snapToGrid/>
        <w:spacing w:line="560" w:lineRule="exact"/>
        <w:ind w:firstLine="42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由行政边界、交通线路、河流、沟壑等明显线状地物和湖泊、绿地等围成的、包含各类建筑物的空间区域。</w:t>
      </w:r>
    </w:p>
    <w:p w14:paraId="61D3144A">
      <w:pPr>
        <w:pStyle w:val="100"/>
        <w:pageBreakBefore w:val="0"/>
        <w:kinsoku/>
        <w:wordWrap/>
        <w:overflowPunct/>
        <w:topLinePunct w:val="0"/>
        <w:bidi w:val="0"/>
        <w:adjustRightInd/>
        <w:snapToGrid/>
        <w:spacing w:line="560" w:lineRule="exact"/>
        <w:ind w:firstLine="420"/>
        <w:textAlignment w:val="auto"/>
        <w:rPr>
          <w:rFonts w:hint="eastAsia"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划分单元分为噪声敏感建筑物（建筑物群）及非噪声敏感建筑物（建筑物群）。</w:t>
      </w:r>
    </w:p>
    <w:p w14:paraId="48F8FC58">
      <w:pPr>
        <w:pStyle w:val="100"/>
        <w:pageBreakBefore w:val="0"/>
        <w:kinsoku/>
        <w:wordWrap/>
        <w:overflowPunct/>
        <w:topLinePunct w:val="0"/>
        <w:bidi w:val="0"/>
        <w:adjustRightInd/>
        <w:snapToGrid/>
        <w:spacing w:line="560" w:lineRule="exact"/>
        <w:ind w:firstLine="420"/>
        <w:textAlignment w:val="auto"/>
        <w:rPr>
          <w:rFonts w:hint="default" w:ascii="Times New Roman" w:hAnsi="Times New Roman" w:eastAsia="方正仿宋_GBK" w:cs="Times New Roman"/>
          <w:color w:val="auto"/>
          <w:kern w:val="2"/>
          <w:sz w:val="32"/>
          <w:szCs w:val="32"/>
          <w:lang w:val="en-US" w:eastAsia="zh-CN" w:bidi="ar-SA"/>
        </w:rPr>
      </w:pPr>
      <w:r>
        <w:rPr>
          <w:rFonts w:hint="eastAsia" w:ascii="Times New Roman" w:hAnsi="Times New Roman" w:eastAsia="方正仿宋_GBK" w:cs="Times New Roman"/>
          <w:color w:val="auto"/>
          <w:kern w:val="2"/>
          <w:sz w:val="32"/>
          <w:szCs w:val="32"/>
          <w:lang w:val="en-US" w:eastAsia="zh-CN" w:bidi="ar-SA"/>
        </w:rPr>
        <w:t>以单一建筑物或规划用地的用地边界线为最小划分单元，如一栋建筑物、一个居住小区、一处办公场所等。当建筑物集中为有明显边界的建筑物群时，以建筑物群用地边界线为划分单元。</w:t>
      </w:r>
    </w:p>
    <w:p w14:paraId="7F51C7E4">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该术语暂无引用，</w:t>
      </w:r>
      <w:r>
        <w:rPr>
          <w:rFonts w:hint="eastAsia" w:cs="Times New Roman"/>
          <w:color w:val="auto"/>
          <w:szCs w:val="32"/>
          <w:lang w:eastAsia="zh-CN"/>
        </w:rPr>
        <w:t>是标准编制组为明确</w:t>
      </w:r>
      <w:r>
        <w:rPr>
          <w:rFonts w:hint="default" w:ascii="Times New Roman" w:hAnsi="Times New Roman" w:cs="Times New Roman"/>
          <w:color w:val="auto"/>
          <w:szCs w:val="32"/>
        </w:rPr>
        <w:t>划定过程</w:t>
      </w:r>
      <w:r>
        <w:rPr>
          <w:rFonts w:hint="eastAsia" w:cs="Times New Roman"/>
          <w:color w:val="auto"/>
          <w:szCs w:val="32"/>
          <w:lang w:eastAsia="zh-CN"/>
        </w:rPr>
        <w:t>中必需步骤划分单元边界及包含内容进行的定义。便于</w:t>
      </w:r>
      <w:r>
        <w:rPr>
          <w:rFonts w:hint="default" w:ascii="Times New Roman" w:hAnsi="Times New Roman" w:cs="Times New Roman"/>
          <w:color w:val="auto"/>
          <w:szCs w:val="32"/>
        </w:rPr>
        <w:t>形成易于辨识、明确清晰的边界。</w:t>
      </w:r>
    </w:p>
    <w:p w14:paraId="6F11D4AC">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6" w:name="_Toc28273"/>
      <w:r>
        <w:rPr>
          <w:rFonts w:hint="default" w:ascii="Times New Roman" w:hAnsi="Times New Roman" w:cs="Times New Roman"/>
          <w:color w:val="auto"/>
        </w:rPr>
        <w:t>4.2.5总体原则</w:t>
      </w:r>
      <w:bookmarkEnd w:id="16"/>
    </w:p>
    <w:p w14:paraId="1A18B1E3">
      <w:pPr>
        <w:pageBreakBefore w:val="0"/>
        <w:widowControl/>
        <w:kinsoku/>
        <w:wordWrap/>
        <w:overflowPunct/>
        <w:topLinePunct w:val="0"/>
        <w:bidi w:val="0"/>
        <w:adjustRightInd/>
        <w:snapToGrid/>
        <w:spacing w:line="560" w:lineRule="exact"/>
        <w:ind w:firstLine="645" w:firstLineChars="0"/>
        <w:jc w:val="left"/>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本文件明确了噪声敏感建筑物集中区域划定的技术原则，主要包括以下四个方面：</w:t>
      </w:r>
    </w:p>
    <w:p w14:paraId="406D1E6B">
      <w:pPr>
        <w:pageBreakBefore w:val="0"/>
        <w:widowControl/>
        <w:kinsoku/>
        <w:wordWrap/>
        <w:overflowPunct/>
        <w:topLinePunct w:val="0"/>
        <w:bidi w:val="0"/>
        <w:adjustRightInd/>
        <w:snapToGrid/>
        <w:spacing w:line="560" w:lineRule="exact"/>
        <w:ind w:firstLine="645" w:firstLineChars="0"/>
        <w:jc w:val="left"/>
        <w:textAlignment w:val="auto"/>
        <w:rPr>
          <w:rFonts w:hint="default" w:ascii="Times New Roman" w:hAnsi="Times New Roman" w:cs="Times New Roman"/>
          <w:color w:val="auto"/>
          <w:szCs w:val="32"/>
        </w:rPr>
      </w:pPr>
      <w:r>
        <w:rPr>
          <w:rFonts w:hint="default" w:ascii="Times New Roman" w:hAnsi="Times New Roman" w:cs="Times New Roman"/>
          <w:b/>
          <w:bCs/>
          <w:color w:val="auto"/>
          <w:szCs w:val="32"/>
        </w:rPr>
        <w:t>（1）尊重现状原则。</w:t>
      </w:r>
      <w:r>
        <w:rPr>
          <w:rFonts w:hint="default" w:ascii="Times New Roman" w:hAnsi="Times New Roman" w:cs="Times New Roman"/>
          <w:color w:val="auto"/>
          <w:szCs w:val="32"/>
        </w:rPr>
        <w:t>以用地性质、建筑物分类和实际使用功能现状为依据，结合国土空间规划和年度国土变更调查结果进行划定噪声敏感建筑物集中区域。划定范围应覆盖整个城市国土空间规划城镇开发边界内区域。</w:t>
      </w:r>
    </w:p>
    <w:p w14:paraId="3534B741">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szCs w:val="32"/>
        </w:rPr>
      </w:pPr>
      <w:r>
        <w:rPr>
          <w:rFonts w:hint="default" w:ascii="Times New Roman" w:hAnsi="Times New Roman" w:cs="Times New Roman"/>
          <w:color w:val="auto"/>
        </w:rPr>
        <w:t>这是由于建筑物的实际使用功能与规划土地利用类型往往存在不一致的情况，同时随着区域城建开发，建筑物的实际使用功能也会动态变化。因此在划定过程中，需要综合考虑建筑物的实际使用现状和未来规划土地类型。例如新街口管委会和五老村街道部分建筑物规划为商业开发，实际建筑物内存在酒店和公寓等居民住宿情况，从保护人居环境角度考虑，将其划为建筑敏感建筑物集中区域。同时划分过程为考虑未来发展，</w:t>
      </w:r>
      <w:r>
        <w:rPr>
          <w:rFonts w:hint="default" w:ascii="Times New Roman" w:hAnsi="Times New Roman" w:cs="Times New Roman"/>
          <w:color w:val="auto"/>
          <w:szCs w:val="32"/>
        </w:rPr>
        <w:t>结合国土空间规划和年度变更调查结果作为参考。</w:t>
      </w:r>
    </w:p>
    <w:p w14:paraId="4266FDE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考虑到最新的国土空间规划管理体系中“三区三线”的管理要求。城镇开发边界外的永久基本农田和生态保护红线区是不得进行城镇集中建设，不得规划建设各类开发区和产业园区，不得规划城镇居住用地等的区域。因此，确定城镇开发边界内区域为噪声敏感建筑物集中区域可存在的空间范围。城镇开发边界以外的区域仅列出原则，</w:t>
      </w:r>
      <w:r>
        <w:rPr>
          <w:rFonts w:hint="eastAsia" w:cs="Times New Roman"/>
          <w:color w:val="auto"/>
          <w:lang w:eastAsia="zh-CN"/>
        </w:rPr>
        <w:t>可不</w:t>
      </w:r>
      <w:r>
        <w:rPr>
          <w:rFonts w:hint="default" w:ascii="Times New Roman" w:hAnsi="Times New Roman" w:cs="Times New Roman"/>
          <w:color w:val="auto"/>
        </w:rPr>
        <w:t>进行划分</w:t>
      </w:r>
      <w:r>
        <w:rPr>
          <w:rFonts w:hint="eastAsia" w:cs="Times New Roman"/>
          <w:color w:val="auto"/>
          <w:lang w:eastAsia="zh-CN"/>
        </w:rPr>
        <w:t>或参照城镇开发边界内划分原则划分</w:t>
      </w:r>
      <w:r>
        <w:rPr>
          <w:rFonts w:hint="default" w:ascii="Times New Roman" w:hAnsi="Times New Roman" w:cs="Times New Roman"/>
          <w:color w:val="auto"/>
        </w:rPr>
        <w:t>。</w:t>
      </w:r>
    </w:p>
    <w:p w14:paraId="04282140">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b/>
          <w:bCs/>
          <w:color w:val="auto"/>
          <w:szCs w:val="32"/>
        </w:rPr>
        <w:t>（2）边界清晰原则。</w:t>
      </w:r>
      <w:r>
        <w:rPr>
          <w:rFonts w:hint="default" w:ascii="Times New Roman" w:hAnsi="Times New Roman" w:cs="Times New Roman"/>
          <w:color w:val="auto"/>
          <w:szCs w:val="32"/>
        </w:rPr>
        <w:t>充分利用行政边界、建筑物用地边界线、交通线路、公园绿地、河流湖泊、自然地形等，形成易于辨识、明确清晰的边界。</w:t>
      </w:r>
    </w:p>
    <w:p w14:paraId="129057EA">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这条主要考虑边界清晰，易于区分，便于噪声污染防治工作的管理需求。</w:t>
      </w:r>
    </w:p>
    <w:p w14:paraId="4689604F">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b/>
          <w:bCs/>
          <w:color w:val="auto"/>
          <w:szCs w:val="32"/>
        </w:rPr>
        <w:t>（3）因地制宜原则。</w:t>
      </w:r>
      <w:r>
        <w:rPr>
          <w:rFonts w:hint="default" w:ascii="Times New Roman" w:hAnsi="Times New Roman" w:cs="Times New Roman"/>
          <w:color w:val="auto"/>
          <w:szCs w:val="32"/>
        </w:rPr>
        <w:t>将噪声敏感建筑物分类保护。综合考量建筑物实际使用功能、噪声传播特性、噪声信访投诉、噪声污染影响范围和程度等因素，统筹划定噪声敏感建筑物集中区域。</w:t>
      </w:r>
    </w:p>
    <w:p w14:paraId="1F40884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通过对噪声敏感建筑物分类保护，明确了噪声建筑物集中区域的划分边界。同时考虑噪声信访投诉为当前噪声管理的重点，需要对区域内噪声投诉事件分布进行分析，结合现场监测，将存在超标区域纳入噪声敏感建筑物区域内进行管理。</w:t>
      </w:r>
    </w:p>
    <w:p w14:paraId="09B99E09">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b/>
          <w:bCs/>
          <w:color w:val="auto"/>
          <w:szCs w:val="32"/>
        </w:rPr>
        <w:t>（4）动态调整原则。</w:t>
      </w:r>
      <w:r>
        <w:rPr>
          <w:rFonts w:hint="default" w:ascii="Times New Roman" w:hAnsi="Times New Roman" w:cs="Times New Roman"/>
          <w:color w:val="auto"/>
          <w:szCs w:val="32"/>
        </w:rPr>
        <w:t>根据建筑物属性、用地性质或规划变更等情况，适时对噪声敏感建筑物集中区域进行动态调整。</w:t>
      </w:r>
    </w:p>
    <w:p w14:paraId="30F06B41">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该原则的制定充分考虑到因国土空间规划调整、城市建设发展等造成的用地类别、建筑分类和分布变化，同时辅助从声环境质量管理的角度去进行理性划分，明确了噪声敏感建筑物集中区域可动态调整、区划结果可适时更新的基本原则。</w:t>
      </w:r>
    </w:p>
    <w:p w14:paraId="174BD05E">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7" w:name="_Toc19272"/>
      <w:r>
        <w:rPr>
          <w:rFonts w:hint="default" w:ascii="Times New Roman" w:hAnsi="Times New Roman" w:cs="Times New Roman"/>
          <w:color w:val="auto"/>
        </w:rPr>
        <w:t>4.2.6准备工作</w:t>
      </w:r>
      <w:bookmarkEnd w:id="17"/>
    </w:p>
    <w:p w14:paraId="79C6FE70">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 xml:space="preserve">该部分规定了噪声敏感建筑物集中区域划定的准备工作，主要包含资料收集和处理、现场踏勘及调研排查。 </w:t>
      </w:r>
    </w:p>
    <w:p w14:paraId="621C193A">
      <w:pPr>
        <w:pageBreakBefore w:val="0"/>
        <w:kinsoku/>
        <w:wordWrap/>
        <w:overflowPunct/>
        <w:topLinePunct w:val="0"/>
        <w:bidi w:val="0"/>
        <w:adjustRightInd/>
        <w:snapToGrid/>
        <w:spacing w:line="560" w:lineRule="exact"/>
        <w:ind w:firstLine="643"/>
        <w:textAlignment w:val="auto"/>
        <w:rPr>
          <w:rFonts w:hint="default" w:ascii="Times New Roman" w:hAnsi="Times New Roman" w:cs="Times New Roman"/>
          <w:b/>
          <w:bCs/>
          <w:color w:val="auto"/>
          <w:szCs w:val="32"/>
        </w:rPr>
      </w:pPr>
      <w:r>
        <w:rPr>
          <w:rFonts w:hint="default" w:ascii="Times New Roman" w:hAnsi="Times New Roman" w:cs="Times New Roman"/>
          <w:b/>
          <w:bCs/>
          <w:color w:val="auto"/>
          <w:szCs w:val="32"/>
        </w:rPr>
        <w:t>（1）资料收集</w:t>
      </w:r>
    </w:p>
    <w:p w14:paraId="697FD7C3">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应收集但不限于以下资料：</w:t>
      </w:r>
    </w:p>
    <w:p w14:paraId="7BF56996">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rPr>
        <w:tab/>
      </w:r>
      <w:r>
        <w:rPr>
          <w:rFonts w:hint="default" w:ascii="Times New Roman" w:hAnsi="Times New Roman" w:cs="Times New Roman"/>
          <w:color w:val="auto"/>
        </w:rPr>
        <w:t>城市建筑物分布及分类现状资料；</w:t>
      </w:r>
    </w:p>
    <w:p w14:paraId="10E09F40">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rPr>
        <w:tab/>
      </w:r>
      <w:r>
        <w:rPr>
          <w:rFonts w:hint="default" w:ascii="Times New Roman" w:hAnsi="Times New Roman" w:cs="Times New Roman"/>
          <w:color w:val="auto"/>
        </w:rPr>
        <w:t>城市国土空间总体规划、控制性详细规划、专项规划等；</w:t>
      </w:r>
    </w:p>
    <w:p w14:paraId="144A0231">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rPr>
        <w:tab/>
      </w:r>
      <w:r>
        <w:rPr>
          <w:rFonts w:hint="default" w:ascii="Times New Roman" w:hAnsi="Times New Roman" w:cs="Times New Roman"/>
          <w:color w:val="auto"/>
        </w:rPr>
        <w:t>最新的国土变更调查成果；</w:t>
      </w:r>
    </w:p>
    <w:p w14:paraId="7642BE28">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rPr>
        <w:tab/>
      </w:r>
      <w:r>
        <w:rPr>
          <w:rFonts w:hint="default" w:ascii="Times New Roman" w:hAnsi="Times New Roman" w:cs="Times New Roman"/>
          <w:color w:val="auto"/>
        </w:rPr>
        <w:t>城镇开发边界范围；</w:t>
      </w:r>
    </w:p>
    <w:p w14:paraId="7985F2BF">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e)</w:t>
      </w:r>
      <w:r>
        <w:rPr>
          <w:rFonts w:hint="default" w:ascii="Times New Roman" w:hAnsi="Times New Roman" w:cs="Times New Roman"/>
          <w:color w:val="auto"/>
        </w:rPr>
        <w:tab/>
      </w:r>
      <w:r>
        <w:rPr>
          <w:rFonts w:hint="default" w:ascii="Times New Roman" w:hAnsi="Times New Roman" w:cs="Times New Roman"/>
          <w:color w:val="auto"/>
        </w:rPr>
        <w:t>行政区划边界、交通、水系、地形地貌、建筑区域用地红线等地理信息矢量数据；</w:t>
      </w:r>
    </w:p>
    <w:p w14:paraId="22BE9115">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f)</w:t>
      </w:r>
      <w:r>
        <w:rPr>
          <w:rFonts w:hint="default" w:ascii="Times New Roman" w:hAnsi="Times New Roman" w:cs="Times New Roman"/>
          <w:color w:val="auto"/>
        </w:rPr>
        <w:tab/>
      </w:r>
      <w:r>
        <w:rPr>
          <w:rFonts w:hint="default" w:ascii="Times New Roman" w:hAnsi="Times New Roman" w:cs="Times New Roman"/>
          <w:color w:val="auto"/>
        </w:rPr>
        <w:t>最新用地现状和高分辨率遥感影像资料；</w:t>
      </w:r>
    </w:p>
    <w:p w14:paraId="03D0AAA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g)</w:t>
      </w:r>
      <w:r>
        <w:rPr>
          <w:rFonts w:hint="default" w:ascii="Times New Roman" w:hAnsi="Times New Roman" w:cs="Times New Roman"/>
          <w:color w:val="auto"/>
        </w:rPr>
        <w:tab/>
      </w:r>
      <w:r>
        <w:rPr>
          <w:rFonts w:hint="default" w:ascii="Times New Roman" w:hAnsi="Times New Roman" w:cs="Times New Roman"/>
          <w:color w:val="auto"/>
        </w:rPr>
        <w:t>城市声环境功能区划及城市声环境管理要求；</w:t>
      </w:r>
    </w:p>
    <w:p w14:paraId="67BED526">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rPr>
        <w:tab/>
      </w:r>
      <w:r>
        <w:rPr>
          <w:rFonts w:hint="default" w:ascii="Times New Roman" w:hAnsi="Times New Roman" w:cs="Times New Roman"/>
          <w:color w:val="auto"/>
        </w:rPr>
        <w:t>声环境质量监测数据及噪声信访投诉资料。</w:t>
      </w:r>
    </w:p>
    <w:p w14:paraId="712A5B34">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其中，将城市噪声信访投诉事件统计作为依据，主要是根据对我市秦淮区、鼓楼区、雨花台区等区域噪声投诉事件进行分析，我市部分老城区居住区人口密度大，临街建筑存在底商，大多沿路网分布，噪声投诉率高，是噪声管理的重点及难点区域，因此将其确定为噪声敏感建筑物集中区域划分的主要依据之一。</w:t>
      </w:r>
    </w:p>
    <w:p w14:paraId="314F4DC9">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在资料收集阶段，应尽可能收集以上资料，确保后续工作顺利进行。</w:t>
      </w:r>
    </w:p>
    <w:p w14:paraId="04EA3AAE">
      <w:pPr>
        <w:pageBreakBefore w:val="0"/>
        <w:kinsoku/>
        <w:wordWrap/>
        <w:overflowPunct/>
        <w:topLinePunct w:val="0"/>
        <w:bidi w:val="0"/>
        <w:adjustRightInd/>
        <w:snapToGrid/>
        <w:spacing w:line="560" w:lineRule="exact"/>
        <w:ind w:firstLine="643"/>
        <w:textAlignment w:val="auto"/>
        <w:rPr>
          <w:rFonts w:hint="default" w:ascii="Times New Roman" w:hAnsi="Times New Roman" w:cs="Times New Roman"/>
          <w:b/>
          <w:bCs/>
          <w:color w:val="auto"/>
          <w:szCs w:val="32"/>
        </w:rPr>
      </w:pPr>
      <w:r>
        <w:rPr>
          <w:rFonts w:hint="default" w:ascii="Times New Roman" w:hAnsi="Times New Roman" w:cs="Times New Roman"/>
          <w:b/>
          <w:bCs/>
          <w:color w:val="auto"/>
          <w:szCs w:val="32"/>
        </w:rPr>
        <w:t>（2）资料处理</w:t>
      </w:r>
    </w:p>
    <w:p w14:paraId="28D9E14E">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对收集到的资料进行分类、整理、数字化等处理，对划定范围内建筑物分布进行初步统计分析。</w:t>
      </w:r>
    </w:p>
    <w:p w14:paraId="16EE86AD">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t>（3）现场踏勘</w:t>
      </w:r>
    </w:p>
    <w:p w14:paraId="42D30FBD">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rPr>
        <w:t>噪声敏感建筑物集中区域的划定，旨在解决老百姓家门口、窗户边的生态环境问题，改善群众身边“小环境”。根据尊重现状的划定原则，噪声敏感建筑物划分集中区域所采用的技术参数，需通过现场调查获取，因此划分前，必须开展现场调查，对上述情况有全面详细</w:t>
      </w:r>
      <w:r>
        <w:rPr>
          <w:rFonts w:hint="eastAsia" w:cs="Times New Roman"/>
          <w:color w:val="auto"/>
          <w:lang w:eastAsia="zh-CN"/>
        </w:rPr>
        <w:t>地</w:t>
      </w:r>
      <w:r>
        <w:rPr>
          <w:rFonts w:hint="default" w:ascii="Times New Roman" w:hAnsi="Times New Roman" w:cs="Times New Roman"/>
          <w:color w:val="auto"/>
        </w:rPr>
        <w:t>了解和掌握，才能科学、合理地确定集中区域的范围。因此本文件规定：在前期资料收集基础上，对开展噪声敏感建筑物集中区域划定的街镇（开发区）进行现场踏勘。现场踏勘区域内建筑物的类型、分布现状，包括建筑物的建成及在用情况、实际使用功能、名称、边界、位置信息等。对存在建筑物类型疑问及资料不一致的敏感建筑物的实际使用情况进行重点排查。</w:t>
      </w:r>
    </w:p>
    <w:p w14:paraId="4E6C859E">
      <w:pPr>
        <w:pStyle w:val="83"/>
        <w:pageBreakBefore w:val="0"/>
        <w:kinsoku/>
        <w:wordWrap/>
        <w:overflowPunct/>
        <w:topLinePunct w:val="0"/>
        <w:bidi w:val="0"/>
        <w:adjustRightInd/>
        <w:snapToGrid/>
        <w:spacing w:line="560" w:lineRule="exact"/>
        <w:ind w:firstLine="640"/>
        <w:textAlignment w:val="auto"/>
        <w:rPr>
          <w:rFonts w:hint="default" w:ascii="Times New Roman" w:hAnsi="Times New Roman" w:cs="Times New Roman"/>
          <w:color w:val="auto"/>
          <w:szCs w:val="32"/>
        </w:rPr>
      </w:pPr>
      <w:r>
        <w:rPr>
          <w:rFonts w:hint="default" w:ascii="Times New Roman" w:hAnsi="Times New Roman" w:cs="Times New Roman"/>
          <w:color w:val="auto"/>
          <w:szCs w:val="32"/>
        </w:rPr>
        <w:t>现状踏勘可结合航拍等技术手段做好照片、影像及文字记录。</w:t>
      </w:r>
    </w:p>
    <w:p w14:paraId="5DA8B935">
      <w:pPr>
        <w:pStyle w:val="6"/>
        <w:pageBreakBefore w:val="0"/>
        <w:kinsoku/>
        <w:wordWrap/>
        <w:overflowPunct/>
        <w:topLinePunct w:val="0"/>
        <w:bidi w:val="0"/>
        <w:adjustRightInd/>
        <w:snapToGrid/>
        <w:spacing w:before="0" w:after="0" w:line="560" w:lineRule="exact"/>
        <w:ind w:firstLine="643"/>
        <w:textAlignment w:val="auto"/>
        <w:rPr>
          <w:rFonts w:hint="default" w:ascii="Times New Roman" w:hAnsi="Times New Roman" w:cs="Times New Roman"/>
          <w:color w:val="auto"/>
        </w:rPr>
      </w:pPr>
      <w:bookmarkStart w:id="18" w:name="_Toc22846"/>
      <w:r>
        <w:rPr>
          <w:rFonts w:hint="default" w:ascii="Times New Roman" w:hAnsi="Times New Roman" w:cs="Times New Roman"/>
          <w:color w:val="auto"/>
        </w:rPr>
        <w:t>4.2.7划定方法</w:t>
      </w:r>
      <w:bookmarkEnd w:id="18"/>
    </w:p>
    <w:p w14:paraId="1B318064">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主要是为了规范噪声敏感建筑物集中区域划定的技术流程，统一划分方法，提高敏感区划分的科学性、合理性和规范性。</w:t>
      </w:r>
    </w:p>
    <w:p w14:paraId="163273E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噪声敏感建筑物集中区域划定成果不仅应体现出建筑区域的实际使用功能，其建筑分类、分布情况和聚集程度也应满足相关的要求，且需边界清晰、易于管理。因此本文件从噪声敏感建筑物的定义出发，按照由点到面推进的思路，提出了先确定划分单元，根据划分单元区分出噪声敏感建筑物（一类和二类），再根据距离退让来确定噪声敏感建筑物集中区域的划分方法，易于理解、便于操作。基于上述考虑，该部分内容规定了划定噪声敏感建筑物集中区域的技术方法，主要包括划分单元的确定、分类统计、噪声敏感建筑物集中区域的确定及局部调整。</w:t>
      </w:r>
    </w:p>
    <w:p w14:paraId="794C1E18">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①</w:t>
      </w:r>
      <w:r>
        <w:rPr>
          <w:rFonts w:hint="default" w:ascii="Times New Roman" w:hAnsi="Times New Roman" w:cs="Times New Roman"/>
          <w:b/>
          <w:bCs/>
          <w:color w:val="auto"/>
        </w:rPr>
        <w:fldChar w:fldCharType="end"/>
      </w:r>
      <w:r>
        <w:rPr>
          <w:rFonts w:hint="default" w:ascii="Times New Roman" w:hAnsi="Times New Roman" w:cs="Times New Roman"/>
          <w:b/>
          <w:bCs/>
          <w:color w:val="auto"/>
        </w:rPr>
        <w:t>确定划分单元</w:t>
      </w:r>
    </w:p>
    <w:p w14:paraId="04461D61">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（1）初步确定</w:t>
      </w:r>
    </w:p>
    <w:p w14:paraId="2DB6874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对于划分单元的确定，本文件充分结合术语部分对划分单元的定义，同时考虑到资料收集和现场踏勘情况，提出了“结合最新遥感影像资料和现场踏勘情况等初步确定划分单元”的方法，明确了划分单元确定方法。</w:t>
      </w:r>
    </w:p>
    <w:p w14:paraId="4C05F9BE">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要正确识别潜在的</w:t>
      </w:r>
      <w:r>
        <w:rPr>
          <w:rFonts w:hint="eastAsia" w:cs="Times New Roman"/>
          <w:color w:val="auto"/>
          <w:lang w:eastAsia="zh-CN"/>
        </w:rPr>
        <w:t>划分单元</w:t>
      </w:r>
      <w:r>
        <w:rPr>
          <w:rFonts w:hint="default" w:ascii="Times New Roman" w:hAnsi="Times New Roman" w:cs="Times New Roman"/>
          <w:color w:val="auto"/>
        </w:rPr>
        <w:t>，需厘清用地分类与噪声敏感建筑物的对应关系。目前在噪声法及相关法律文件中没有明确采用哪类标准，</w:t>
      </w:r>
      <w:r>
        <w:rPr>
          <w:rFonts w:hint="eastAsia" w:cs="Times New Roman"/>
          <w:color w:val="auto"/>
          <w:lang w:eastAsia="zh-CN"/>
        </w:rPr>
        <w:t>标准编制组</w:t>
      </w:r>
      <w:r>
        <w:rPr>
          <w:rFonts w:hint="default" w:ascii="Times New Roman" w:hAnsi="Times New Roman" w:cs="Times New Roman"/>
          <w:color w:val="auto"/>
        </w:rPr>
        <w:t>对现有各类用地标准进行收集，梳理了与噪声敏感建筑物有关的建筑物分类。</w:t>
      </w:r>
    </w:p>
    <w:p w14:paraId="3C67837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根据</w:t>
      </w:r>
      <w:bookmarkStart w:id="19" w:name="_Hlk195028222"/>
      <w:r>
        <w:rPr>
          <w:rFonts w:hint="default" w:ascii="Times New Roman" w:hAnsi="Times New Roman" w:cs="Times New Roman"/>
          <w:color w:val="auto"/>
        </w:rPr>
        <w:t>《城市用地分类与规划建设用地标准》（GB50137-2011）</w:t>
      </w:r>
      <w:bookmarkEnd w:id="19"/>
      <w:r>
        <w:rPr>
          <w:rFonts w:hint="default" w:ascii="Times New Roman" w:hAnsi="Times New Roman" w:cs="Times New Roman"/>
          <w:color w:val="auto"/>
        </w:rPr>
        <w:t>，该标准适用于城市总体规划和控制性详细规划的编制、用地统计和用地管理工作，县人民政府所在地镇及其它有条件的镇可参照执行。该标准中，对于以上各类建筑相关定义见下表</w:t>
      </w:r>
      <w:r>
        <w:rPr>
          <w:rFonts w:hint="eastAsia" w:cs="Times New Roman"/>
          <w:color w:val="auto"/>
          <w:lang w:val="en-US" w:eastAsia="zh-CN"/>
        </w:rPr>
        <w:t>4-1</w:t>
      </w:r>
      <w:r>
        <w:rPr>
          <w:rFonts w:hint="default" w:ascii="Times New Roman" w:hAnsi="Times New Roman" w:cs="Times New Roman"/>
          <w:color w:val="auto"/>
        </w:rPr>
        <w:t>。</w:t>
      </w:r>
    </w:p>
    <w:p w14:paraId="6A2B41A5">
      <w:pPr>
        <w:spacing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4-1</w:t>
      </w:r>
      <w:r>
        <w:rPr>
          <w:rFonts w:hint="default" w:ascii="Times New Roman" w:hAnsi="Times New Roman" w:eastAsia="黑体" w:cs="Times New Roman"/>
          <w:color w:val="auto"/>
          <w:sz w:val="21"/>
          <w:szCs w:val="21"/>
        </w:rPr>
        <w:t>《城市用地分类与规划建设用地标准》中有关噪声敏感建筑物的用地分类</w:t>
      </w:r>
    </w:p>
    <w:tbl>
      <w:tblPr>
        <w:tblStyle w:val="19"/>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735"/>
        <w:gridCol w:w="6222"/>
      </w:tblGrid>
      <w:tr w14:paraId="2B08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188259D8">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类别代码</w:t>
            </w:r>
          </w:p>
        </w:tc>
        <w:tc>
          <w:tcPr>
            <w:tcW w:w="1735" w:type="dxa"/>
            <w:shd w:val="clear" w:color="auto" w:fill="auto"/>
            <w:vAlign w:val="center"/>
          </w:tcPr>
          <w:p w14:paraId="5BBD7375">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类别名称</w:t>
            </w:r>
          </w:p>
        </w:tc>
        <w:tc>
          <w:tcPr>
            <w:tcW w:w="6222" w:type="dxa"/>
            <w:shd w:val="clear" w:color="auto" w:fill="auto"/>
            <w:vAlign w:val="center"/>
          </w:tcPr>
          <w:p w14:paraId="0E032DFE">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内容</w:t>
            </w:r>
          </w:p>
        </w:tc>
      </w:tr>
      <w:tr w14:paraId="233F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718BA03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R</w:t>
            </w:r>
          </w:p>
        </w:tc>
        <w:tc>
          <w:tcPr>
            <w:tcW w:w="1735" w:type="dxa"/>
            <w:shd w:val="clear" w:color="auto" w:fill="auto"/>
            <w:vAlign w:val="center"/>
          </w:tcPr>
          <w:p w14:paraId="148D36E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居住用地</w:t>
            </w:r>
          </w:p>
        </w:tc>
        <w:tc>
          <w:tcPr>
            <w:tcW w:w="6222" w:type="dxa"/>
            <w:shd w:val="clear" w:color="auto" w:fill="auto"/>
            <w:vAlign w:val="center"/>
          </w:tcPr>
          <w:p w14:paraId="087FA09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住宅和相应服务设施用地</w:t>
            </w:r>
          </w:p>
        </w:tc>
      </w:tr>
      <w:tr w14:paraId="0705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6204EF3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A1</w:t>
            </w:r>
          </w:p>
        </w:tc>
        <w:tc>
          <w:tcPr>
            <w:tcW w:w="1735" w:type="dxa"/>
            <w:shd w:val="clear" w:color="auto" w:fill="auto"/>
            <w:vAlign w:val="center"/>
          </w:tcPr>
          <w:p w14:paraId="72593B4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行政办公用地</w:t>
            </w:r>
          </w:p>
        </w:tc>
        <w:tc>
          <w:tcPr>
            <w:tcW w:w="6222" w:type="dxa"/>
            <w:shd w:val="clear" w:color="auto" w:fill="auto"/>
            <w:vAlign w:val="center"/>
          </w:tcPr>
          <w:p w14:paraId="64435AF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党政机关、社会团体、事业单位等办公机构及其相关设施用地</w:t>
            </w:r>
          </w:p>
        </w:tc>
      </w:tr>
      <w:tr w14:paraId="4835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0509B67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A2</w:t>
            </w:r>
          </w:p>
        </w:tc>
        <w:tc>
          <w:tcPr>
            <w:tcW w:w="1735" w:type="dxa"/>
            <w:shd w:val="clear" w:color="auto" w:fill="auto"/>
            <w:vAlign w:val="center"/>
          </w:tcPr>
          <w:p w14:paraId="60AACA7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文化设施用地</w:t>
            </w:r>
          </w:p>
        </w:tc>
        <w:tc>
          <w:tcPr>
            <w:tcW w:w="6222" w:type="dxa"/>
            <w:shd w:val="clear" w:color="auto" w:fill="auto"/>
            <w:vAlign w:val="center"/>
          </w:tcPr>
          <w:p w14:paraId="132687D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图书、展览等公共文化活动设施用地</w:t>
            </w:r>
          </w:p>
        </w:tc>
      </w:tr>
      <w:tr w14:paraId="7983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51B5DAB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A3</w:t>
            </w:r>
          </w:p>
        </w:tc>
        <w:tc>
          <w:tcPr>
            <w:tcW w:w="1735" w:type="dxa"/>
            <w:shd w:val="clear" w:color="auto" w:fill="auto"/>
            <w:vAlign w:val="center"/>
          </w:tcPr>
          <w:p w14:paraId="4894325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教育科研用地</w:t>
            </w:r>
          </w:p>
        </w:tc>
        <w:tc>
          <w:tcPr>
            <w:tcW w:w="6222" w:type="dxa"/>
            <w:shd w:val="clear" w:color="auto" w:fill="auto"/>
            <w:vAlign w:val="center"/>
          </w:tcPr>
          <w:p w14:paraId="785BEC4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高等院校、中等专业学校、中学、小学、科研事业单位及其附属设施用地，包括为学校配建的独立地段的学生生活用地</w:t>
            </w:r>
          </w:p>
        </w:tc>
      </w:tr>
      <w:tr w14:paraId="228D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3A3D07E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A5</w:t>
            </w:r>
          </w:p>
        </w:tc>
        <w:tc>
          <w:tcPr>
            <w:tcW w:w="1735" w:type="dxa"/>
            <w:shd w:val="clear" w:color="auto" w:fill="auto"/>
            <w:vAlign w:val="center"/>
          </w:tcPr>
          <w:p w14:paraId="5264A4F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医疗卫生用地</w:t>
            </w:r>
          </w:p>
        </w:tc>
        <w:tc>
          <w:tcPr>
            <w:tcW w:w="6222" w:type="dxa"/>
            <w:shd w:val="clear" w:color="auto" w:fill="auto"/>
            <w:vAlign w:val="center"/>
          </w:tcPr>
          <w:p w14:paraId="7A18C01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医疗、保健、卫生、防疫、康复和急救设施等用地</w:t>
            </w:r>
          </w:p>
        </w:tc>
      </w:tr>
      <w:tr w14:paraId="290A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9" w:type="dxa"/>
            <w:shd w:val="clear" w:color="auto" w:fill="auto"/>
            <w:vAlign w:val="center"/>
          </w:tcPr>
          <w:p w14:paraId="18FB9B9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A6</w:t>
            </w:r>
          </w:p>
        </w:tc>
        <w:tc>
          <w:tcPr>
            <w:tcW w:w="1735" w:type="dxa"/>
            <w:shd w:val="clear" w:color="auto" w:fill="auto"/>
            <w:vAlign w:val="center"/>
          </w:tcPr>
          <w:p w14:paraId="078D32F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社会福利设施</w:t>
            </w:r>
          </w:p>
          <w:p w14:paraId="4EE92DA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用地</w:t>
            </w:r>
          </w:p>
        </w:tc>
        <w:tc>
          <w:tcPr>
            <w:tcW w:w="6222" w:type="dxa"/>
            <w:shd w:val="clear" w:color="auto" w:fill="auto"/>
            <w:vAlign w:val="center"/>
          </w:tcPr>
          <w:p w14:paraId="62887C0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为社会提供福利和慈善服务的设施及其附属设施用地，包括福利院、养老院、孤儿院等用地</w:t>
            </w:r>
          </w:p>
        </w:tc>
      </w:tr>
    </w:tbl>
    <w:p w14:paraId="610A9A5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ii</w:t>
      </w:r>
      <w:r>
        <w:rPr>
          <w:rFonts w:hint="default" w:ascii="Times New Roman" w:hAnsi="Times New Roman" w:cs="Times New Roman"/>
          <w:color w:val="auto"/>
        </w:rPr>
        <w:fldChar w:fldCharType="end"/>
      </w:r>
      <w:r>
        <w:rPr>
          <w:rFonts w:hint="default" w:ascii="Times New Roman" w:hAnsi="Times New Roman" w:cs="Times New Roman"/>
          <w:color w:val="auto"/>
        </w:rPr>
        <w:t>根据</w:t>
      </w:r>
      <w:bookmarkStart w:id="20" w:name="_Hlk195028210"/>
      <w:r>
        <w:rPr>
          <w:rFonts w:hint="default" w:ascii="Times New Roman" w:hAnsi="Times New Roman" w:cs="Times New Roman"/>
          <w:color w:val="auto"/>
        </w:rPr>
        <w:t>《土地利用现状分类》（GB/T21010-2017）</w:t>
      </w:r>
      <w:bookmarkEnd w:id="20"/>
      <w:r>
        <w:rPr>
          <w:rFonts w:hint="default" w:ascii="Times New Roman" w:hAnsi="Times New Roman" w:cs="Times New Roman"/>
          <w:color w:val="auto"/>
        </w:rPr>
        <w:t>，该标准适用于土地调查、规划、审批、供应、整治、执法、评价、统计、登记及信息化管理等工作。该标准中，对于以上各类建筑相关定义见下表</w:t>
      </w:r>
      <w:r>
        <w:rPr>
          <w:rFonts w:hint="eastAsia" w:cs="Times New Roman"/>
          <w:color w:val="auto"/>
          <w:lang w:val="en-US" w:eastAsia="zh-CN"/>
        </w:rPr>
        <w:t>4-2</w:t>
      </w:r>
      <w:r>
        <w:rPr>
          <w:rFonts w:hint="default" w:ascii="Times New Roman" w:hAnsi="Times New Roman" w:cs="Times New Roman"/>
          <w:color w:val="auto"/>
        </w:rPr>
        <w:t>。</w:t>
      </w:r>
    </w:p>
    <w:p w14:paraId="6ECFF3A3">
      <w:pPr>
        <w:spacing w:line="360" w:lineRule="auto"/>
        <w:ind w:firstLine="420" w:firstLineChars="20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4-2</w:t>
      </w:r>
      <w:r>
        <w:rPr>
          <w:rFonts w:hint="default" w:ascii="Times New Roman" w:hAnsi="Times New Roman" w:eastAsia="黑体" w:cs="Times New Roman"/>
          <w:color w:val="auto"/>
          <w:sz w:val="21"/>
          <w:szCs w:val="21"/>
        </w:rPr>
        <w:t>《土地利用现状分类》中有关噪声敏感建筑物的用地分类</w:t>
      </w:r>
    </w:p>
    <w:tbl>
      <w:tblPr>
        <w:tblStyle w:val="19"/>
        <w:tblW w:w="9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4"/>
        <w:gridCol w:w="1773"/>
        <w:gridCol w:w="6455"/>
      </w:tblGrid>
      <w:tr w14:paraId="2B9B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3AC2B3F8">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类别代码</w:t>
            </w:r>
          </w:p>
        </w:tc>
        <w:tc>
          <w:tcPr>
            <w:tcW w:w="1773" w:type="dxa"/>
            <w:shd w:val="clear" w:color="auto" w:fill="auto"/>
            <w:vAlign w:val="center"/>
          </w:tcPr>
          <w:p w14:paraId="5A7EFF64">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类别名称</w:t>
            </w:r>
          </w:p>
        </w:tc>
        <w:tc>
          <w:tcPr>
            <w:tcW w:w="6455" w:type="dxa"/>
            <w:shd w:val="clear" w:color="auto" w:fill="auto"/>
            <w:vAlign w:val="center"/>
          </w:tcPr>
          <w:p w14:paraId="55189869">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内容</w:t>
            </w:r>
          </w:p>
        </w:tc>
      </w:tr>
      <w:tr w14:paraId="52CC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1647EB0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w:t>
            </w:r>
          </w:p>
        </w:tc>
        <w:tc>
          <w:tcPr>
            <w:tcW w:w="1773" w:type="dxa"/>
            <w:shd w:val="clear" w:color="auto" w:fill="auto"/>
            <w:vAlign w:val="center"/>
          </w:tcPr>
          <w:p w14:paraId="6010D5F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住宅用地</w:t>
            </w:r>
          </w:p>
        </w:tc>
        <w:tc>
          <w:tcPr>
            <w:tcW w:w="6455" w:type="dxa"/>
            <w:shd w:val="clear" w:color="auto" w:fill="auto"/>
            <w:vAlign w:val="center"/>
          </w:tcPr>
          <w:p w14:paraId="00EE58A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指主要用于人们生活居住的房基地及其附属设施用地</w:t>
            </w:r>
          </w:p>
        </w:tc>
      </w:tr>
      <w:tr w14:paraId="3C396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11CDCDD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w:t>
            </w:r>
          </w:p>
        </w:tc>
        <w:tc>
          <w:tcPr>
            <w:tcW w:w="1773" w:type="dxa"/>
            <w:shd w:val="clear" w:color="auto" w:fill="auto"/>
            <w:vAlign w:val="center"/>
          </w:tcPr>
          <w:p w14:paraId="1F5F1B5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城镇住宅用地</w:t>
            </w:r>
          </w:p>
        </w:tc>
        <w:tc>
          <w:tcPr>
            <w:tcW w:w="6455" w:type="dxa"/>
            <w:shd w:val="clear" w:color="auto" w:fill="auto"/>
            <w:vAlign w:val="center"/>
          </w:tcPr>
          <w:p w14:paraId="1EA85E6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指城镇用于生活居住的各类房屋用地及其附属设施用地</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rPr>
              <w:t>不含配套的商业服务设施等用地</w:t>
            </w:r>
          </w:p>
        </w:tc>
      </w:tr>
      <w:tr w14:paraId="0DDF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0078B91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0702</w:t>
            </w:r>
          </w:p>
        </w:tc>
        <w:tc>
          <w:tcPr>
            <w:tcW w:w="1773" w:type="dxa"/>
            <w:shd w:val="clear" w:color="auto" w:fill="auto"/>
            <w:vAlign w:val="center"/>
          </w:tcPr>
          <w:p w14:paraId="3260445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农村宅基地</w:t>
            </w:r>
          </w:p>
        </w:tc>
        <w:tc>
          <w:tcPr>
            <w:tcW w:w="6455" w:type="dxa"/>
            <w:shd w:val="clear" w:color="auto" w:fill="auto"/>
            <w:vAlign w:val="center"/>
          </w:tcPr>
          <w:p w14:paraId="3229EFC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指农村用于生活居住的宅基地</w:t>
            </w:r>
          </w:p>
        </w:tc>
      </w:tr>
      <w:tr w14:paraId="02F0A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594A243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0801</w:t>
            </w:r>
          </w:p>
        </w:tc>
        <w:tc>
          <w:tcPr>
            <w:tcW w:w="1773" w:type="dxa"/>
            <w:shd w:val="clear" w:color="auto" w:fill="auto"/>
            <w:vAlign w:val="center"/>
          </w:tcPr>
          <w:p w14:paraId="0C5C994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机关团体用地</w:t>
            </w:r>
          </w:p>
        </w:tc>
        <w:tc>
          <w:tcPr>
            <w:tcW w:w="6455" w:type="dxa"/>
            <w:shd w:val="clear" w:color="auto" w:fill="auto"/>
            <w:vAlign w:val="center"/>
          </w:tcPr>
          <w:p w14:paraId="57701C0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指用于党政机关、社会团体、群众自治组织等的用地</w:t>
            </w:r>
          </w:p>
        </w:tc>
      </w:tr>
      <w:tr w14:paraId="6FA98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660881E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w:t>
            </w:r>
          </w:p>
        </w:tc>
        <w:tc>
          <w:tcPr>
            <w:tcW w:w="1773" w:type="dxa"/>
            <w:shd w:val="clear" w:color="auto" w:fill="auto"/>
            <w:vAlign w:val="center"/>
          </w:tcPr>
          <w:p w14:paraId="6F6C1D7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教育用地</w:t>
            </w:r>
          </w:p>
        </w:tc>
        <w:tc>
          <w:tcPr>
            <w:tcW w:w="6455" w:type="dxa"/>
            <w:shd w:val="clear" w:color="auto" w:fill="auto"/>
            <w:vAlign w:val="center"/>
          </w:tcPr>
          <w:p w14:paraId="21B31E9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指用于各类教育用地、包括高等院校、中等专业学校、中学、小学、幼儿园及其附属设施用地,聋、哑、盲人学校及工读学校用地，以及为学校配建的独立地段的学生生活用地。</w:t>
            </w:r>
          </w:p>
        </w:tc>
      </w:tr>
      <w:tr w14:paraId="170C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55DD1A0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w:t>
            </w:r>
          </w:p>
        </w:tc>
        <w:tc>
          <w:tcPr>
            <w:tcW w:w="1773" w:type="dxa"/>
            <w:shd w:val="clear" w:color="auto" w:fill="auto"/>
            <w:vAlign w:val="center"/>
          </w:tcPr>
          <w:p w14:paraId="1E3D490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科研用地</w:t>
            </w:r>
          </w:p>
        </w:tc>
        <w:tc>
          <w:tcPr>
            <w:tcW w:w="6455" w:type="dxa"/>
            <w:shd w:val="clear" w:color="auto" w:fill="auto"/>
            <w:vAlign w:val="center"/>
          </w:tcPr>
          <w:p w14:paraId="302859E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指独立的科研、勘察、研发，设计、检验检测、技术推广、环境评估与监测、科普等科研事业单位及其附属设施用地</w:t>
            </w:r>
          </w:p>
        </w:tc>
      </w:tr>
      <w:tr w14:paraId="72CC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64ABD0C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0805</w:t>
            </w:r>
          </w:p>
        </w:tc>
        <w:tc>
          <w:tcPr>
            <w:tcW w:w="1773" w:type="dxa"/>
            <w:shd w:val="clear" w:color="auto" w:fill="auto"/>
            <w:vAlign w:val="center"/>
          </w:tcPr>
          <w:p w14:paraId="2E7619E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医疗卫生用地</w:t>
            </w:r>
          </w:p>
        </w:tc>
        <w:tc>
          <w:tcPr>
            <w:tcW w:w="6455" w:type="dxa"/>
            <w:shd w:val="clear" w:color="auto" w:fill="auto"/>
            <w:vAlign w:val="center"/>
          </w:tcPr>
          <w:p w14:paraId="03CD373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医疗、保健、卫生、防疫、康复和急救设施等用地。包括综合医院、专科医院、社区卫生服务中心等用地；卫生防疫站、专科防治所、检验中心和动物检疫站等用地对环境有特殊要求的传染病、精神病等专科医院用地;急救中心、血库等用地。</w:t>
            </w:r>
          </w:p>
        </w:tc>
      </w:tr>
      <w:tr w14:paraId="6BB9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1FD7507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w:t>
            </w:r>
          </w:p>
        </w:tc>
        <w:tc>
          <w:tcPr>
            <w:tcW w:w="1773" w:type="dxa"/>
            <w:shd w:val="clear" w:color="auto" w:fill="auto"/>
            <w:vAlign w:val="center"/>
          </w:tcPr>
          <w:p w14:paraId="223648A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社会福利用地</w:t>
            </w:r>
          </w:p>
        </w:tc>
        <w:tc>
          <w:tcPr>
            <w:tcW w:w="6455" w:type="dxa"/>
            <w:shd w:val="clear" w:color="auto" w:fill="auto"/>
            <w:vAlign w:val="center"/>
          </w:tcPr>
          <w:p w14:paraId="178F338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指为社会提供福利和慈善服务的设施及其附属设施用地。包括福利院、养老院、孤儿院等用地</w:t>
            </w:r>
          </w:p>
        </w:tc>
      </w:tr>
      <w:tr w14:paraId="76B2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3F5C069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w:t>
            </w:r>
          </w:p>
        </w:tc>
        <w:tc>
          <w:tcPr>
            <w:tcW w:w="1773" w:type="dxa"/>
            <w:shd w:val="clear" w:color="auto" w:fill="auto"/>
            <w:vAlign w:val="center"/>
          </w:tcPr>
          <w:p w14:paraId="48754F6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文化设施用地</w:t>
            </w:r>
          </w:p>
        </w:tc>
        <w:tc>
          <w:tcPr>
            <w:tcW w:w="6455" w:type="dxa"/>
            <w:shd w:val="clear" w:color="auto" w:fill="auto"/>
            <w:vAlign w:val="center"/>
          </w:tcPr>
          <w:p w14:paraId="5773207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指图书、展览等公共文化活动设施用地。包括公共图书馆、博物馆、档案馆、科技馆、纪念馆、美术馆和展览馆等设施用地:综合文化活动中心文化馆、青少年宫儿童活动中心、老年活动中心等设施用地。</w:t>
            </w:r>
          </w:p>
        </w:tc>
      </w:tr>
    </w:tbl>
    <w:p w14:paraId="6197D62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根据</w:t>
      </w:r>
      <w:bookmarkStart w:id="21" w:name="_Hlk195028242"/>
      <w:r>
        <w:rPr>
          <w:rFonts w:hint="default" w:ascii="Times New Roman" w:hAnsi="Times New Roman" w:cs="Times New Roman"/>
          <w:color w:val="auto"/>
        </w:rPr>
        <w:t>《国土空间调查、规划、用途管制用地用海分类指南》（自然资发〔2023〕234号）</w:t>
      </w:r>
      <w:bookmarkEnd w:id="21"/>
      <w:r>
        <w:rPr>
          <w:rFonts w:hint="default" w:ascii="Times New Roman" w:hAnsi="Times New Roman" w:cs="Times New Roman"/>
          <w:color w:val="auto"/>
        </w:rPr>
        <w:t>，该指南适用于国土调查、监测、统计、评价，国土空间规划、用途管制、耕地保护、生态修复，土地审批、供应、整治、执法、登记及信息化管理等工作。该指南充分考虑了与“三调”工作的分类衔接</w:t>
      </w:r>
      <w:r>
        <w:rPr>
          <w:rFonts w:hint="eastAsia" w:cs="Times New Roman"/>
          <w:color w:val="auto"/>
          <w:lang w:eastAsia="zh-CN"/>
        </w:rPr>
        <w:t>，</w:t>
      </w:r>
      <w:r>
        <w:rPr>
          <w:rFonts w:hint="default" w:ascii="Times New Roman" w:hAnsi="Times New Roman" w:cs="Times New Roman"/>
          <w:color w:val="auto"/>
        </w:rPr>
        <w:t>对于以上各类建筑相关定义见下表</w:t>
      </w:r>
      <w:r>
        <w:rPr>
          <w:rFonts w:hint="eastAsia" w:cs="Times New Roman"/>
          <w:color w:val="auto"/>
          <w:lang w:val="en-US" w:eastAsia="zh-CN"/>
        </w:rPr>
        <w:t>4-3</w:t>
      </w:r>
      <w:r>
        <w:rPr>
          <w:rFonts w:hint="eastAsia" w:cs="Times New Roman"/>
          <w:color w:val="auto"/>
          <w:lang w:eastAsia="zh-CN"/>
        </w:rPr>
        <w:t>，</w:t>
      </w:r>
      <w:r>
        <w:rPr>
          <w:rFonts w:hint="default" w:ascii="Times New Roman" w:hAnsi="Times New Roman" w:cs="Times New Roman"/>
          <w:color w:val="auto"/>
        </w:rPr>
        <w:t>用地用海分类与“三调”工作的衔接见下表</w:t>
      </w:r>
      <w:r>
        <w:rPr>
          <w:rFonts w:hint="eastAsia" w:cs="Times New Roman"/>
          <w:color w:val="auto"/>
          <w:lang w:val="en-US" w:eastAsia="zh-CN"/>
        </w:rPr>
        <w:t>4-4</w:t>
      </w:r>
      <w:r>
        <w:rPr>
          <w:rFonts w:hint="default" w:ascii="Times New Roman" w:hAnsi="Times New Roman" w:cs="Times New Roman"/>
          <w:color w:val="auto"/>
        </w:rPr>
        <w:t>。</w:t>
      </w:r>
    </w:p>
    <w:p w14:paraId="6CDDB266">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4-3</w:t>
      </w:r>
      <w:r>
        <w:rPr>
          <w:rFonts w:hint="default" w:ascii="Times New Roman" w:hAnsi="Times New Roman" w:eastAsia="黑体" w:cs="Times New Roman"/>
          <w:color w:val="auto"/>
          <w:sz w:val="21"/>
          <w:szCs w:val="21"/>
        </w:rPr>
        <w:t>《国土空间调查、规划、用途管制用地用海分类指南》（自然资发〔2023〕234号）</w:t>
      </w:r>
    </w:p>
    <w:p w14:paraId="3C3C6984">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中有关噪声敏感建筑物的用地分类</w:t>
      </w:r>
    </w:p>
    <w:tbl>
      <w:tblPr>
        <w:tblStyle w:val="19"/>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1568"/>
        <w:gridCol w:w="6540"/>
      </w:tblGrid>
      <w:tr w14:paraId="24A2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74A8C5AA">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类别代码</w:t>
            </w:r>
          </w:p>
        </w:tc>
        <w:tc>
          <w:tcPr>
            <w:tcW w:w="1568" w:type="dxa"/>
            <w:shd w:val="clear" w:color="auto" w:fill="auto"/>
            <w:vAlign w:val="center"/>
          </w:tcPr>
          <w:p w14:paraId="09B40D5D">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类别名称</w:t>
            </w:r>
          </w:p>
        </w:tc>
        <w:tc>
          <w:tcPr>
            <w:tcW w:w="6540" w:type="dxa"/>
            <w:shd w:val="clear" w:color="auto" w:fill="auto"/>
            <w:vAlign w:val="center"/>
          </w:tcPr>
          <w:p w14:paraId="5B714CF9">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内容</w:t>
            </w:r>
          </w:p>
        </w:tc>
      </w:tr>
      <w:tr w14:paraId="4C1C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17D412C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w:t>
            </w:r>
          </w:p>
        </w:tc>
        <w:tc>
          <w:tcPr>
            <w:tcW w:w="1568" w:type="dxa"/>
            <w:shd w:val="clear" w:color="auto" w:fill="auto"/>
            <w:vAlign w:val="center"/>
          </w:tcPr>
          <w:p w14:paraId="3DE1778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居住用地</w:t>
            </w:r>
          </w:p>
        </w:tc>
        <w:tc>
          <w:tcPr>
            <w:tcW w:w="6540" w:type="dxa"/>
            <w:shd w:val="clear" w:color="auto" w:fill="auto"/>
            <w:vAlign w:val="center"/>
          </w:tcPr>
          <w:p w14:paraId="0DB3F72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指城乡住宅用地及其居住生活配套的社区服务设施用地</w:t>
            </w:r>
          </w:p>
        </w:tc>
      </w:tr>
      <w:tr w14:paraId="243A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73215B4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w:t>
            </w:r>
          </w:p>
        </w:tc>
        <w:tc>
          <w:tcPr>
            <w:tcW w:w="1568" w:type="dxa"/>
            <w:shd w:val="clear" w:color="auto" w:fill="auto"/>
            <w:vAlign w:val="center"/>
          </w:tcPr>
          <w:p w14:paraId="61B79F9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城镇住宅用地</w:t>
            </w:r>
          </w:p>
        </w:tc>
        <w:tc>
          <w:tcPr>
            <w:tcW w:w="6540" w:type="dxa"/>
            <w:shd w:val="clear" w:color="auto" w:fill="auto"/>
            <w:vAlign w:val="center"/>
          </w:tcPr>
          <w:p w14:paraId="5C7233C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指用于城镇生活居住功能的各类住宅建筑用地及其附属设施用地</w:t>
            </w:r>
          </w:p>
        </w:tc>
      </w:tr>
      <w:tr w14:paraId="24AF4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tcPr>
          <w:p w14:paraId="6892CE1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0702</w:t>
            </w:r>
          </w:p>
        </w:tc>
        <w:tc>
          <w:tcPr>
            <w:tcW w:w="1568" w:type="dxa"/>
            <w:shd w:val="clear" w:color="auto" w:fill="auto"/>
          </w:tcPr>
          <w:p w14:paraId="62F8254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城镇社区服务设施用地</w:t>
            </w:r>
          </w:p>
        </w:tc>
        <w:tc>
          <w:tcPr>
            <w:tcW w:w="6540" w:type="dxa"/>
            <w:shd w:val="clear" w:color="auto" w:fill="auto"/>
          </w:tcPr>
          <w:p w14:paraId="64BC3E4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为城镇居住生活配套的社区服务设施用地，包括社区服务站以及托儿所、社区卫生服务站、文化活动站、小型综合体育场地、小型超市等用地，以及老年人日间照料中心（托老所）等社区养老服务设施用地，不包括中小学、幼儿园用地</w:t>
            </w:r>
          </w:p>
        </w:tc>
      </w:tr>
      <w:tr w14:paraId="3758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73E29A3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0703</w:t>
            </w:r>
          </w:p>
        </w:tc>
        <w:tc>
          <w:tcPr>
            <w:tcW w:w="1568" w:type="dxa"/>
            <w:shd w:val="clear" w:color="auto" w:fill="auto"/>
            <w:vAlign w:val="center"/>
          </w:tcPr>
          <w:p w14:paraId="5744012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农村宅基地</w:t>
            </w:r>
          </w:p>
        </w:tc>
        <w:tc>
          <w:tcPr>
            <w:tcW w:w="6540" w:type="dxa"/>
            <w:shd w:val="clear" w:color="auto" w:fill="auto"/>
            <w:vAlign w:val="center"/>
          </w:tcPr>
          <w:p w14:paraId="66ED440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指农村村民用于建造住宅及其生活附属设施的土地，包括住房、附属用房等用地。</w:t>
            </w:r>
          </w:p>
        </w:tc>
      </w:tr>
      <w:tr w14:paraId="2E05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6144AA0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0704</w:t>
            </w:r>
          </w:p>
        </w:tc>
        <w:tc>
          <w:tcPr>
            <w:tcW w:w="1568" w:type="dxa"/>
            <w:shd w:val="clear" w:color="auto" w:fill="auto"/>
            <w:vAlign w:val="center"/>
          </w:tcPr>
          <w:p w14:paraId="223BE63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农村社区服务设施用地</w:t>
            </w:r>
          </w:p>
        </w:tc>
        <w:tc>
          <w:tcPr>
            <w:tcW w:w="6540" w:type="dxa"/>
            <w:shd w:val="clear" w:color="auto" w:fill="auto"/>
            <w:vAlign w:val="center"/>
          </w:tcPr>
          <w:p w14:paraId="6EFAFE9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为农村生产生活配套的社区服务设施用地，包括农村社区服务站以及村委会、供销社、兽医站、农机站、托儿所、文化活动室、小型体育活动场地、综合礼堂、农村商店及小型超市、农村卫生服务站、村邮站、宗祠等用地，不包括中小学、幼儿园用地</w:t>
            </w:r>
          </w:p>
        </w:tc>
      </w:tr>
      <w:tr w14:paraId="3BD7F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1E988CF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0801</w:t>
            </w:r>
          </w:p>
        </w:tc>
        <w:tc>
          <w:tcPr>
            <w:tcW w:w="1568" w:type="dxa"/>
            <w:shd w:val="clear" w:color="auto" w:fill="auto"/>
            <w:vAlign w:val="center"/>
          </w:tcPr>
          <w:p w14:paraId="5D6403D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机关团体用地</w:t>
            </w:r>
          </w:p>
        </w:tc>
        <w:tc>
          <w:tcPr>
            <w:tcW w:w="6540" w:type="dxa"/>
            <w:shd w:val="clear" w:color="auto" w:fill="auto"/>
            <w:vAlign w:val="center"/>
          </w:tcPr>
          <w:p w14:paraId="60F5415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指党政机关、人民团体及其相关直属机构、派出机构和直属事业单位的办公及附属设施用地</w:t>
            </w:r>
          </w:p>
        </w:tc>
      </w:tr>
      <w:tr w14:paraId="7AB9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67912FB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0802</w:t>
            </w:r>
          </w:p>
        </w:tc>
        <w:tc>
          <w:tcPr>
            <w:tcW w:w="1568" w:type="dxa"/>
            <w:shd w:val="clear" w:color="auto" w:fill="auto"/>
            <w:vAlign w:val="center"/>
          </w:tcPr>
          <w:p w14:paraId="47E16F1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科研用地</w:t>
            </w:r>
          </w:p>
        </w:tc>
        <w:tc>
          <w:tcPr>
            <w:tcW w:w="6540" w:type="dxa"/>
            <w:shd w:val="clear" w:color="auto" w:fill="auto"/>
            <w:vAlign w:val="center"/>
          </w:tcPr>
          <w:p w14:paraId="2E6F310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指科研机构及其科研设施、企业科学研究和研发设施用地</w:t>
            </w:r>
          </w:p>
        </w:tc>
      </w:tr>
      <w:tr w14:paraId="6CA9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3BFA69D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w:t>
            </w:r>
          </w:p>
        </w:tc>
        <w:tc>
          <w:tcPr>
            <w:tcW w:w="1568" w:type="dxa"/>
            <w:shd w:val="clear" w:color="auto" w:fill="auto"/>
            <w:vAlign w:val="center"/>
          </w:tcPr>
          <w:p w14:paraId="10BBDD9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文化用地</w:t>
            </w:r>
          </w:p>
        </w:tc>
        <w:tc>
          <w:tcPr>
            <w:tcW w:w="6540" w:type="dxa"/>
            <w:shd w:val="clear" w:color="auto" w:fill="auto"/>
            <w:vAlign w:val="center"/>
          </w:tcPr>
          <w:p w14:paraId="123093F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指图书、展览等公共文化活动设施用地</w:t>
            </w:r>
          </w:p>
        </w:tc>
      </w:tr>
      <w:tr w14:paraId="12BF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3531214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w:t>
            </w:r>
          </w:p>
        </w:tc>
        <w:tc>
          <w:tcPr>
            <w:tcW w:w="1568" w:type="dxa"/>
            <w:shd w:val="clear" w:color="auto" w:fill="auto"/>
            <w:vAlign w:val="center"/>
          </w:tcPr>
          <w:p w14:paraId="38D68CE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教育用地</w:t>
            </w:r>
          </w:p>
        </w:tc>
        <w:tc>
          <w:tcPr>
            <w:tcW w:w="6540" w:type="dxa"/>
            <w:shd w:val="clear" w:color="auto" w:fill="auto"/>
            <w:vAlign w:val="center"/>
          </w:tcPr>
          <w:p w14:paraId="19E8CAF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指高等教育、中等职业教育、中小学教育、幼儿园、特殊教育设施等用地，包括为学校配建的独立地段的学生生活用地</w:t>
            </w:r>
          </w:p>
        </w:tc>
      </w:tr>
      <w:tr w14:paraId="1A59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526EA23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w:t>
            </w:r>
          </w:p>
        </w:tc>
        <w:tc>
          <w:tcPr>
            <w:tcW w:w="1568" w:type="dxa"/>
            <w:shd w:val="clear" w:color="auto" w:fill="auto"/>
            <w:vAlign w:val="center"/>
          </w:tcPr>
          <w:p w14:paraId="7952E0F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医疗卫生用地</w:t>
            </w:r>
          </w:p>
        </w:tc>
        <w:tc>
          <w:tcPr>
            <w:tcW w:w="6540" w:type="dxa"/>
            <w:shd w:val="clear" w:color="auto" w:fill="auto"/>
            <w:vAlign w:val="center"/>
          </w:tcPr>
          <w:p w14:paraId="7B8E3A2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指医疗、预防、保健、护理、康复、急救、安宁疗护等用地</w:t>
            </w:r>
          </w:p>
        </w:tc>
      </w:tr>
      <w:tr w14:paraId="4EB2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shd w:val="clear" w:color="auto" w:fill="auto"/>
            <w:vAlign w:val="center"/>
          </w:tcPr>
          <w:p w14:paraId="0156CBC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w:t>
            </w:r>
          </w:p>
        </w:tc>
        <w:tc>
          <w:tcPr>
            <w:tcW w:w="1568" w:type="dxa"/>
            <w:shd w:val="clear" w:color="auto" w:fill="auto"/>
            <w:vAlign w:val="center"/>
          </w:tcPr>
          <w:p w14:paraId="79D34EA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社会福利用地</w:t>
            </w:r>
          </w:p>
        </w:tc>
        <w:tc>
          <w:tcPr>
            <w:tcW w:w="6540" w:type="dxa"/>
            <w:shd w:val="clear" w:color="auto" w:fill="auto"/>
            <w:vAlign w:val="center"/>
          </w:tcPr>
          <w:p w14:paraId="3A7C541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指为老年人、儿童及残疾人等提供社会福利和慈善服务的设施用地</w:t>
            </w:r>
          </w:p>
        </w:tc>
      </w:tr>
    </w:tbl>
    <w:p w14:paraId="0226800D">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4-4</w:t>
      </w:r>
      <w:r>
        <w:rPr>
          <w:rFonts w:hint="default" w:ascii="Times New Roman" w:hAnsi="Times New Roman" w:eastAsia="黑体" w:cs="Times New Roman"/>
          <w:color w:val="auto"/>
          <w:sz w:val="21"/>
          <w:szCs w:val="21"/>
        </w:rPr>
        <w:t xml:space="preserve"> 用地用海分类与第三次全国国土调查工作分类对应情况</w:t>
      </w:r>
    </w:p>
    <w:tbl>
      <w:tblPr>
        <w:tblStyle w:val="19"/>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640"/>
        <w:gridCol w:w="791"/>
        <w:gridCol w:w="1487"/>
        <w:gridCol w:w="3259"/>
        <w:gridCol w:w="1636"/>
        <w:gridCol w:w="982"/>
      </w:tblGrid>
      <w:tr w14:paraId="5545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blHeader/>
          <w:jc w:val="center"/>
        </w:trPr>
        <w:tc>
          <w:tcPr>
            <w:tcW w:w="3453" w:type="dxa"/>
            <w:gridSpan w:val="4"/>
            <w:shd w:val="clear" w:color="auto" w:fill="D9D9D9"/>
            <w:vAlign w:val="center"/>
          </w:tcPr>
          <w:p w14:paraId="1A0B3137">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第三次全国国土调查工作分类</w:t>
            </w:r>
          </w:p>
        </w:tc>
        <w:tc>
          <w:tcPr>
            <w:tcW w:w="5877" w:type="dxa"/>
            <w:gridSpan w:val="3"/>
            <w:vAlign w:val="center"/>
          </w:tcPr>
          <w:p w14:paraId="3A6BD131">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国土空间调查、规划、用途管制用地用海分类</w:t>
            </w:r>
          </w:p>
        </w:tc>
      </w:tr>
      <w:tr w14:paraId="433E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blHeader/>
          <w:jc w:val="center"/>
        </w:trPr>
        <w:tc>
          <w:tcPr>
            <w:tcW w:w="1175" w:type="dxa"/>
            <w:gridSpan w:val="2"/>
            <w:shd w:val="clear" w:color="auto" w:fill="D9D9D9"/>
            <w:vAlign w:val="center"/>
          </w:tcPr>
          <w:p w14:paraId="568A58B3">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一级类</w:t>
            </w:r>
          </w:p>
        </w:tc>
        <w:tc>
          <w:tcPr>
            <w:tcW w:w="2278" w:type="dxa"/>
            <w:gridSpan w:val="2"/>
            <w:shd w:val="clear" w:color="auto" w:fill="D9D9D9"/>
            <w:vAlign w:val="center"/>
          </w:tcPr>
          <w:p w14:paraId="1479AB03">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二级类</w:t>
            </w:r>
          </w:p>
        </w:tc>
        <w:tc>
          <w:tcPr>
            <w:tcW w:w="3259" w:type="dxa"/>
            <w:vAlign w:val="center"/>
          </w:tcPr>
          <w:p w14:paraId="1AA25FB8">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三级类</w:t>
            </w:r>
          </w:p>
        </w:tc>
        <w:tc>
          <w:tcPr>
            <w:tcW w:w="1636" w:type="dxa"/>
            <w:vAlign w:val="center"/>
          </w:tcPr>
          <w:p w14:paraId="623ED036">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二级类</w:t>
            </w:r>
          </w:p>
        </w:tc>
        <w:tc>
          <w:tcPr>
            <w:tcW w:w="982" w:type="dxa"/>
            <w:vAlign w:val="center"/>
          </w:tcPr>
          <w:p w14:paraId="1EC69491">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一级类</w:t>
            </w:r>
          </w:p>
        </w:tc>
      </w:tr>
      <w:tr w14:paraId="0CF3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535" w:type="dxa"/>
            <w:vMerge w:val="restart"/>
            <w:shd w:val="clear" w:color="auto" w:fill="D9D9D9"/>
            <w:vAlign w:val="center"/>
          </w:tcPr>
          <w:p w14:paraId="44B20CD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w:t>
            </w:r>
          </w:p>
        </w:tc>
        <w:tc>
          <w:tcPr>
            <w:tcW w:w="640" w:type="dxa"/>
            <w:vMerge w:val="restart"/>
            <w:shd w:val="clear" w:color="auto" w:fill="D9D9D9"/>
            <w:vAlign w:val="center"/>
          </w:tcPr>
          <w:p w14:paraId="7DA40E9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住宅</w:t>
            </w:r>
          </w:p>
          <w:p w14:paraId="19D0995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用地</w:t>
            </w:r>
          </w:p>
        </w:tc>
        <w:tc>
          <w:tcPr>
            <w:tcW w:w="791" w:type="dxa"/>
            <w:vMerge w:val="restart"/>
            <w:shd w:val="clear" w:color="auto" w:fill="D9D9D9"/>
            <w:vAlign w:val="center"/>
          </w:tcPr>
          <w:p w14:paraId="72965F9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w:t>
            </w:r>
          </w:p>
        </w:tc>
        <w:tc>
          <w:tcPr>
            <w:tcW w:w="1487" w:type="dxa"/>
            <w:vMerge w:val="restart"/>
            <w:shd w:val="clear" w:color="auto" w:fill="D9D9D9"/>
            <w:vAlign w:val="center"/>
          </w:tcPr>
          <w:p w14:paraId="0DDEE3C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城镇住宅用地</w:t>
            </w:r>
          </w:p>
        </w:tc>
        <w:tc>
          <w:tcPr>
            <w:tcW w:w="3259" w:type="dxa"/>
            <w:vAlign w:val="center"/>
          </w:tcPr>
          <w:p w14:paraId="3AD5FA5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070101一类城镇住宅用地</w:t>
            </w:r>
          </w:p>
        </w:tc>
        <w:tc>
          <w:tcPr>
            <w:tcW w:w="1636" w:type="dxa"/>
            <w:vMerge w:val="restart"/>
            <w:vAlign w:val="center"/>
          </w:tcPr>
          <w:p w14:paraId="3DF12D9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0701城镇住宅用地</w:t>
            </w:r>
          </w:p>
        </w:tc>
        <w:tc>
          <w:tcPr>
            <w:tcW w:w="982" w:type="dxa"/>
            <w:vMerge w:val="restart"/>
            <w:vAlign w:val="center"/>
          </w:tcPr>
          <w:p w14:paraId="686F328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07居住用地</w:t>
            </w:r>
          </w:p>
        </w:tc>
      </w:tr>
      <w:tr w14:paraId="5FD9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535" w:type="dxa"/>
            <w:vMerge w:val="continue"/>
            <w:shd w:val="clear" w:color="auto" w:fill="D9D9D9"/>
            <w:vAlign w:val="center"/>
          </w:tcPr>
          <w:p w14:paraId="6B28D735">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18D50EC8">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40A4D251">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0E254818">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474B6BF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070102二类城镇住宅用地</w:t>
            </w:r>
          </w:p>
        </w:tc>
        <w:tc>
          <w:tcPr>
            <w:tcW w:w="1636" w:type="dxa"/>
            <w:vMerge w:val="continue"/>
            <w:vAlign w:val="center"/>
          </w:tcPr>
          <w:p w14:paraId="33794210">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4DE83228">
            <w:pPr>
              <w:spacing w:line="240" w:lineRule="auto"/>
              <w:ind w:firstLine="0" w:firstLineChars="0"/>
              <w:jc w:val="center"/>
              <w:rPr>
                <w:rFonts w:hint="default" w:ascii="Times New Roman" w:hAnsi="Times New Roman" w:eastAsia="仿宋_GB2312" w:cs="Times New Roman"/>
                <w:color w:val="auto"/>
                <w:sz w:val="24"/>
                <w:szCs w:val="24"/>
              </w:rPr>
            </w:pPr>
          </w:p>
        </w:tc>
      </w:tr>
      <w:tr w14:paraId="7F4E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535" w:type="dxa"/>
            <w:vMerge w:val="continue"/>
            <w:shd w:val="clear" w:color="auto" w:fill="D9D9D9"/>
            <w:vAlign w:val="center"/>
          </w:tcPr>
          <w:p w14:paraId="26D1BEEE">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57967F96">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43A97023">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563FD5F7">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6A004A1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070103三类城镇住宅用地</w:t>
            </w:r>
          </w:p>
        </w:tc>
        <w:tc>
          <w:tcPr>
            <w:tcW w:w="1636" w:type="dxa"/>
            <w:vMerge w:val="continue"/>
            <w:vAlign w:val="center"/>
          </w:tcPr>
          <w:p w14:paraId="2827E4CC">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1D812AAC">
            <w:pPr>
              <w:spacing w:line="240" w:lineRule="auto"/>
              <w:ind w:firstLine="0" w:firstLineChars="0"/>
              <w:jc w:val="center"/>
              <w:rPr>
                <w:rFonts w:hint="default" w:ascii="Times New Roman" w:hAnsi="Times New Roman" w:eastAsia="仿宋_GB2312" w:cs="Times New Roman"/>
                <w:color w:val="auto"/>
                <w:sz w:val="24"/>
                <w:szCs w:val="24"/>
              </w:rPr>
            </w:pPr>
          </w:p>
        </w:tc>
      </w:tr>
      <w:tr w14:paraId="5821B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35" w:type="dxa"/>
            <w:vMerge w:val="continue"/>
            <w:shd w:val="clear" w:color="auto" w:fill="D9D9D9"/>
            <w:vAlign w:val="center"/>
          </w:tcPr>
          <w:p w14:paraId="0BB5B0B9">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544959D6">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restart"/>
            <w:shd w:val="clear" w:color="auto" w:fill="D9D9D9"/>
            <w:vAlign w:val="center"/>
          </w:tcPr>
          <w:p w14:paraId="1D083C2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0702</w:t>
            </w:r>
          </w:p>
        </w:tc>
        <w:tc>
          <w:tcPr>
            <w:tcW w:w="1487" w:type="dxa"/>
            <w:vMerge w:val="restart"/>
            <w:shd w:val="clear" w:color="auto" w:fill="D9D9D9"/>
            <w:vAlign w:val="center"/>
          </w:tcPr>
          <w:p w14:paraId="5FF8CD6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农村宅基地</w:t>
            </w:r>
          </w:p>
        </w:tc>
        <w:tc>
          <w:tcPr>
            <w:tcW w:w="3259" w:type="dxa"/>
            <w:vAlign w:val="center"/>
          </w:tcPr>
          <w:p w14:paraId="66EDDB5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070301一类农村宅基地</w:t>
            </w:r>
          </w:p>
        </w:tc>
        <w:tc>
          <w:tcPr>
            <w:tcW w:w="1636" w:type="dxa"/>
            <w:vMerge w:val="restart"/>
            <w:vAlign w:val="center"/>
          </w:tcPr>
          <w:p w14:paraId="4E036A8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0703农村宅基地</w:t>
            </w:r>
          </w:p>
        </w:tc>
        <w:tc>
          <w:tcPr>
            <w:tcW w:w="982" w:type="dxa"/>
            <w:vMerge w:val="continue"/>
            <w:vAlign w:val="center"/>
          </w:tcPr>
          <w:p w14:paraId="741B5892">
            <w:pPr>
              <w:spacing w:line="240" w:lineRule="auto"/>
              <w:ind w:firstLine="0" w:firstLineChars="0"/>
              <w:jc w:val="center"/>
              <w:rPr>
                <w:rFonts w:hint="default" w:ascii="Times New Roman" w:hAnsi="Times New Roman" w:eastAsia="仿宋_GB2312" w:cs="Times New Roman"/>
                <w:color w:val="auto"/>
                <w:sz w:val="24"/>
                <w:szCs w:val="24"/>
              </w:rPr>
            </w:pPr>
          </w:p>
        </w:tc>
      </w:tr>
      <w:tr w14:paraId="016F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21BB1DC3">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22717A0A">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76638DF2">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64498595">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73968AF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070302二类农村宅基地</w:t>
            </w:r>
          </w:p>
        </w:tc>
        <w:tc>
          <w:tcPr>
            <w:tcW w:w="1636" w:type="dxa"/>
            <w:vMerge w:val="continue"/>
            <w:vAlign w:val="center"/>
          </w:tcPr>
          <w:p w14:paraId="715DAD12">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31C58440">
            <w:pPr>
              <w:spacing w:line="240" w:lineRule="auto"/>
              <w:ind w:firstLine="0" w:firstLineChars="0"/>
              <w:jc w:val="center"/>
              <w:rPr>
                <w:rFonts w:hint="default" w:ascii="Times New Roman" w:hAnsi="Times New Roman" w:eastAsia="仿宋_GB2312" w:cs="Times New Roman"/>
                <w:color w:val="auto"/>
                <w:sz w:val="24"/>
                <w:szCs w:val="24"/>
              </w:rPr>
            </w:pPr>
          </w:p>
        </w:tc>
      </w:tr>
      <w:tr w14:paraId="3D6D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jc w:val="center"/>
        </w:trPr>
        <w:tc>
          <w:tcPr>
            <w:tcW w:w="535" w:type="dxa"/>
            <w:vMerge w:val="restart"/>
            <w:shd w:val="clear" w:color="auto" w:fill="D9D9D9"/>
            <w:vAlign w:val="center"/>
          </w:tcPr>
          <w:p w14:paraId="275E0DD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w:t>
            </w:r>
          </w:p>
        </w:tc>
        <w:tc>
          <w:tcPr>
            <w:tcW w:w="640" w:type="dxa"/>
            <w:vMerge w:val="restart"/>
            <w:shd w:val="clear" w:color="auto" w:fill="D9D9D9"/>
            <w:vAlign w:val="center"/>
          </w:tcPr>
          <w:p w14:paraId="5E467BE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公共管</w:t>
            </w:r>
          </w:p>
          <w:p w14:paraId="510D119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理与公</w:t>
            </w:r>
          </w:p>
          <w:p w14:paraId="7D69CCB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共服务</w:t>
            </w:r>
          </w:p>
          <w:p w14:paraId="5EE04F8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用  地</w:t>
            </w:r>
          </w:p>
        </w:tc>
        <w:tc>
          <w:tcPr>
            <w:tcW w:w="791" w:type="dxa"/>
            <w:shd w:val="clear" w:color="auto" w:fill="D9D9D9"/>
            <w:vAlign w:val="center"/>
          </w:tcPr>
          <w:p w14:paraId="5E585C1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08H1</w:t>
            </w:r>
          </w:p>
        </w:tc>
        <w:tc>
          <w:tcPr>
            <w:tcW w:w="1487" w:type="dxa"/>
            <w:shd w:val="clear" w:color="auto" w:fill="D9D9D9"/>
            <w:vAlign w:val="center"/>
          </w:tcPr>
          <w:p w14:paraId="7ED1BAF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机关团体新闻出版用地</w:t>
            </w:r>
          </w:p>
        </w:tc>
        <w:tc>
          <w:tcPr>
            <w:tcW w:w="3259" w:type="dxa"/>
            <w:vAlign w:val="center"/>
          </w:tcPr>
          <w:p w14:paraId="4EFE830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636" w:type="dxa"/>
            <w:vAlign w:val="center"/>
          </w:tcPr>
          <w:p w14:paraId="14F6642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0801机关团体用地</w:t>
            </w:r>
          </w:p>
        </w:tc>
        <w:tc>
          <w:tcPr>
            <w:tcW w:w="982" w:type="dxa"/>
            <w:vMerge w:val="restart"/>
            <w:vAlign w:val="center"/>
          </w:tcPr>
          <w:p w14:paraId="4B6D5BF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08公共管理与公共服务用地</w:t>
            </w:r>
          </w:p>
        </w:tc>
      </w:tr>
      <w:tr w14:paraId="1D4E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535" w:type="dxa"/>
            <w:vMerge w:val="continue"/>
            <w:shd w:val="clear" w:color="auto" w:fill="D9D9D9"/>
            <w:vAlign w:val="center"/>
          </w:tcPr>
          <w:p w14:paraId="26D82F09">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4E914236">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restart"/>
            <w:shd w:val="clear" w:color="auto" w:fill="D9D9D9"/>
            <w:vAlign w:val="center"/>
          </w:tcPr>
          <w:p w14:paraId="35A5F89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08H2</w:t>
            </w:r>
          </w:p>
        </w:tc>
        <w:tc>
          <w:tcPr>
            <w:tcW w:w="1487" w:type="dxa"/>
            <w:vMerge w:val="restart"/>
            <w:shd w:val="clear" w:color="auto" w:fill="D9D9D9"/>
            <w:vAlign w:val="center"/>
          </w:tcPr>
          <w:p w14:paraId="3B3DC28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科教文卫用地</w:t>
            </w:r>
          </w:p>
        </w:tc>
        <w:tc>
          <w:tcPr>
            <w:tcW w:w="3259" w:type="dxa"/>
            <w:vAlign w:val="center"/>
          </w:tcPr>
          <w:p w14:paraId="4B5D2F9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p>
        </w:tc>
        <w:tc>
          <w:tcPr>
            <w:tcW w:w="1636" w:type="dxa"/>
            <w:vAlign w:val="center"/>
          </w:tcPr>
          <w:p w14:paraId="50F8105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0802科研用地</w:t>
            </w:r>
          </w:p>
        </w:tc>
        <w:tc>
          <w:tcPr>
            <w:tcW w:w="982" w:type="dxa"/>
            <w:vMerge w:val="continue"/>
            <w:vAlign w:val="center"/>
          </w:tcPr>
          <w:p w14:paraId="5798D5CA">
            <w:pPr>
              <w:spacing w:line="240" w:lineRule="auto"/>
              <w:ind w:firstLine="0" w:firstLineChars="0"/>
              <w:rPr>
                <w:rFonts w:hint="default" w:ascii="Times New Roman" w:hAnsi="Times New Roman" w:eastAsia="宋体" w:cs="Times New Roman"/>
                <w:b/>
                <w:color w:val="auto"/>
                <w:kern w:val="0"/>
                <w:sz w:val="24"/>
              </w:rPr>
            </w:pPr>
          </w:p>
        </w:tc>
      </w:tr>
      <w:tr w14:paraId="4390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535" w:type="dxa"/>
            <w:vMerge w:val="continue"/>
            <w:shd w:val="clear" w:color="auto" w:fill="D9D9D9"/>
            <w:vAlign w:val="center"/>
          </w:tcPr>
          <w:p w14:paraId="6B4E71B3">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3B6CCE8C">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583CA7B3">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29FA6BE0">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07092EC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080301图书与展览用地</w:t>
            </w:r>
          </w:p>
        </w:tc>
        <w:tc>
          <w:tcPr>
            <w:tcW w:w="1636" w:type="dxa"/>
            <w:vMerge w:val="restart"/>
            <w:vAlign w:val="center"/>
          </w:tcPr>
          <w:p w14:paraId="0654E0F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0803文化用地</w:t>
            </w:r>
          </w:p>
        </w:tc>
        <w:tc>
          <w:tcPr>
            <w:tcW w:w="982" w:type="dxa"/>
            <w:vMerge w:val="continue"/>
            <w:vAlign w:val="center"/>
          </w:tcPr>
          <w:p w14:paraId="01480914">
            <w:pPr>
              <w:widowControl/>
              <w:spacing w:line="240" w:lineRule="auto"/>
              <w:ind w:firstLine="0" w:firstLineChars="0"/>
              <w:rPr>
                <w:rFonts w:hint="default" w:ascii="Times New Roman" w:hAnsi="Times New Roman" w:eastAsia="宋体" w:cs="Times New Roman"/>
                <w:color w:val="auto"/>
                <w:kern w:val="0"/>
                <w:sz w:val="24"/>
              </w:rPr>
            </w:pPr>
          </w:p>
        </w:tc>
      </w:tr>
      <w:tr w14:paraId="301F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 w:hRule="atLeast"/>
          <w:jc w:val="center"/>
        </w:trPr>
        <w:tc>
          <w:tcPr>
            <w:tcW w:w="535" w:type="dxa"/>
            <w:vMerge w:val="continue"/>
            <w:shd w:val="clear" w:color="auto" w:fill="D9D9D9"/>
            <w:vAlign w:val="center"/>
          </w:tcPr>
          <w:p w14:paraId="2C321D8D">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19A471A2">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54A80B4C">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4DC64C55">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6C379AF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080302文化活动用地</w:t>
            </w:r>
          </w:p>
        </w:tc>
        <w:tc>
          <w:tcPr>
            <w:tcW w:w="1636" w:type="dxa"/>
            <w:vMerge w:val="continue"/>
            <w:vAlign w:val="center"/>
          </w:tcPr>
          <w:p w14:paraId="2C41ACD6">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6E9047CF">
            <w:pPr>
              <w:widowControl/>
              <w:spacing w:line="240" w:lineRule="auto"/>
              <w:ind w:firstLine="0" w:firstLineChars="0"/>
              <w:rPr>
                <w:rFonts w:hint="default" w:ascii="Times New Roman" w:hAnsi="Times New Roman" w:eastAsia="宋体" w:cs="Times New Roman"/>
                <w:color w:val="auto"/>
                <w:kern w:val="0"/>
                <w:sz w:val="24"/>
              </w:rPr>
            </w:pPr>
          </w:p>
        </w:tc>
      </w:tr>
      <w:tr w14:paraId="6A5D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35" w:type="dxa"/>
            <w:vMerge w:val="continue"/>
            <w:shd w:val="clear" w:color="auto" w:fill="D9D9D9"/>
            <w:vAlign w:val="center"/>
          </w:tcPr>
          <w:p w14:paraId="4E3A805F">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355B9348">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152DF1AC">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1E9D1606">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0B62A30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080401高等教育用地</w:t>
            </w:r>
          </w:p>
        </w:tc>
        <w:tc>
          <w:tcPr>
            <w:tcW w:w="1636" w:type="dxa"/>
            <w:vMerge w:val="restart"/>
            <w:vAlign w:val="center"/>
          </w:tcPr>
          <w:p w14:paraId="6215C60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0804教育用地</w:t>
            </w:r>
          </w:p>
        </w:tc>
        <w:tc>
          <w:tcPr>
            <w:tcW w:w="982" w:type="dxa"/>
            <w:vMerge w:val="continue"/>
            <w:vAlign w:val="center"/>
          </w:tcPr>
          <w:p w14:paraId="785B8728">
            <w:pPr>
              <w:widowControl/>
              <w:spacing w:line="240" w:lineRule="auto"/>
              <w:ind w:firstLine="0" w:firstLineChars="0"/>
              <w:rPr>
                <w:rFonts w:hint="default" w:ascii="Times New Roman" w:hAnsi="Times New Roman" w:eastAsia="宋体" w:cs="Times New Roman"/>
                <w:color w:val="auto"/>
                <w:kern w:val="0"/>
                <w:sz w:val="24"/>
              </w:rPr>
            </w:pPr>
          </w:p>
        </w:tc>
      </w:tr>
      <w:tr w14:paraId="5652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35" w:type="dxa"/>
            <w:vMerge w:val="continue"/>
            <w:shd w:val="clear" w:color="auto" w:fill="D9D9D9"/>
            <w:vAlign w:val="center"/>
          </w:tcPr>
          <w:p w14:paraId="0F5696F2">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07E97552">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22466F22">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03222281">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4F92565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080402中等职业教育用地</w:t>
            </w:r>
          </w:p>
        </w:tc>
        <w:tc>
          <w:tcPr>
            <w:tcW w:w="1636" w:type="dxa"/>
            <w:vMerge w:val="continue"/>
            <w:vAlign w:val="center"/>
          </w:tcPr>
          <w:p w14:paraId="3C0789F9">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0844E6AF">
            <w:pPr>
              <w:widowControl/>
              <w:spacing w:line="240" w:lineRule="auto"/>
              <w:ind w:firstLine="0" w:firstLineChars="0"/>
              <w:rPr>
                <w:rFonts w:hint="default" w:ascii="Times New Roman" w:hAnsi="Times New Roman" w:eastAsia="宋体" w:cs="Times New Roman"/>
                <w:color w:val="auto"/>
                <w:kern w:val="0"/>
                <w:sz w:val="24"/>
              </w:rPr>
            </w:pPr>
          </w:p>
        </w:tc>
      </w:tr>
      <w:tr w14:paraId="3763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35" w:type="dxa"/>
            <w:vMerge w:val="continue"/>
            <w:shd w:val="clear" w:color="auto" w:fill="D9D9D9"/>
            <w:vAlign w:val="center"/>
          </w:tcPr>
          <w:p w14:paraId="34B1FA1F">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2AD540C5">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5222804F">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10A14020">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1525D4E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080403中小学用地</w:t>
            </w:r>
          </w:p>
        </w:tc>
        <w:tc>
          <w:tcPr>
            <w:tcW w:w="1636" w:type="dxa"/>
            <w:vMerge w:val="continue"/>
            <w:vAlign w:val="center"/>
          </w:tcPr>
          <w:p w14:paraId="6765947B">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3EFE2879">
            <w:pPr>
              <w:widowControl/>
              <w:spacing w:line="240" w:lineRule="auto"/>
              <w:ind w:firstLine="0" w:firstLineChars="0"/>
              <w:rPr>
                <w:rFonts w:hint="default" w:ascii="Times New Roman" w:hAnsi="Times New Roman" w:eastAsia="宋体" w:cs="Times New Roman"/>
                <w:color w:val="auto"/>
                <w:kern w:val="0"/>
                <w:sz w:val="24"/>
              </w:rPr>
            </w:pPr>
          </w:p>
        </w:tc>
      </w:tr>
      <w:tr w14:paraId="1A24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535" w:type="dxa"/>
            <w:vMerge w:val="continue"/>
            <w:shd w:val="clear" w:color="auto" w:fill="D9D9D9"/>
            <w:vAlign w:val="center"/>
          </w:tcPr>
          <w:p w14:paraId="7D1D994C">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738F05D9">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50E03ECE">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45D6511B">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49F264B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080404幼儿园用地</w:t>
            </w:r>
          </w:p>
        </w:tc>
        <w:tc>
          <w:tcPr>
            <w:tcW w:w="1636" w:type="dxa"/>
            <w:vMerge w:val="continue"/>
            <w:vAlign w:val="center"/>
          </w:tcPr>
          <w:p w14:paraId="730E3CCE">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043FAEDD">
            <w:pPr>
              <w:widowControl/>
              <w:spacing w:line="240" w:lineRule="auto"/>
              <w:ind w:firstLine="0" w:firstLineChars="0"/>
              <w:rPr>
                <w:rFonts w:hint="default" w:ascii="Times New Roman" w:hAnsi="Times New Roman" w:eastAsia="宋体" w:cs="Times New Roman"/>
                <w:color w:val="auto"/>
                <w:kern w:val="0"/>
                <w:sz w:val="24"/>
              </w:rPr>
            </w:pPr>
          </w:p>
        </w:tc>
      </w:tr>
      <w:tr w14:paraId="079A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535" w:type="dxa"/>
            <w:vMerge w:val="continue"/>
            <w:shd w:val="clear" w:color="auto" w:fill="D9D9D9"/>
            <w:vAlign w:val="center"/>
          </w:tcPr>
          <w:p w14:paraId="739B11E3">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1F0A30EC">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65038029">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52588819">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296A13C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080405其他教育用地</w:t>
            </w:r>
          </w:p>
        </w:tc>
        <w:tc>
          <w:tcPr>
            <w:tcW w:w="1636" w:type="dxa"/>
            <w:vMerge w:val="continue"/>
            <w:vAlign w:val="center"/>
          </w:tcPr>
          <w:p w14:paraId="65868ED0">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7621BE9D">
            <w:pPr>
              <w:widowControl/>
              <w:spacing w:line="240" w:lineRule="auto"/>
              <w:ind w:firstLine="0" w:firstLineChars="0"/>
              <w:rPr>
                <w:rFonts w:hint="default" w:ascii="Times New Roman" w:hAnsi="Times New Roman" w:eastAsia="宋体" w:cs="Times New Roman"/>
                <w:color w:val="auto"/>
                <w:kern w:val="0"/>
                <w:sz w:val="24"/>
              </w:rPr>
            </w:pPr>
          </w:p>
        </w:tc>
      </w:tr>
      <w:tr w14:paraId="5002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5012045B">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5E3DFBE9">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0AF60638">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1B594D64">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4BFAADE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080501体育场馆用地</w:t>
            </w:r>
          </w:p>
        </w:tc>
        <w:tc>
          <w:tcPr>
            <w:tcW w:w="1636" w:type="dxa"/>
            <w:vMerge w:val="restart"/>
            <w:vAlign w:val="center"/>
          </w:tcPr>
          <w:p w14:paraId="6AEE2FB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0805体育用地</w:t>
            </w:r>
          </w:p>
        </w:tc>
        <w:tc>
          <w:tcPr>
            <w:tcW w:w="982" w:type="dxa"/>
            <w:vMerge w:val="continue"/>
            <w:vAlign w:val="center"/>
          </w:tcPr>
          <w:p w14:paraId="4EA94D2E">
            <w:pPr>
              <w:widowControl/>
              <w:spacing w:line="240" w:lineRule="auto"/>
              <w:ind w:firstLine="0" w:firstLineChars="0"/>
              <w:rPr>
                <w:rFonts w:hint="default" w:ascii="Times New Roman" w:hAnsi="Times New Roman" w:eastAsia="宋体" w:cs="Times New Roman"/>
                <w:color w:val="auto"/>
                <w:kern w:val="0"/>
                <w:sz w:val="24"/>
              </w:rPr>
            </w:pPr>
          </w:p>
        </w:tc>
      </w:tr>
      <w:tr w14:paraId="2E64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 w:hRule="atLeast"/>
          <w:jc w:val="center"/>
        </w:trPr>
        <w:tc>
          <w:tcPr>
            <w:tcW w:w="535" w:type="dxa"/>
            <w:vMerge w:val="continue"/>
            <w:shd w:val="clear" w:color="auto" w:fill="D9D9D9"/>
            <w:vAlign w:val="center"/>
          </w:tcPr>
          <w:p w14:paraId="155F15D8">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7BD5B33E">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504A3F11">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4B625E98">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17D3CAE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080502体育训练用地</w:t>
            </w:r>
          </w:p>
        </w:tc>
        <w:tc>
          <w:tcPr>
            <w:tcW w:w="1636" w:type="dxa"/>
            <w:vMerge w:val="continue"/>
            <w:vAlign w:val="center"/>
          </w:tcPr>
          <w:p w14:paraId="331AF587">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2C4A0314">
            <w:pPr>
              <w:widowControl/>
              <w:spacing w:line="240" w:lineRule="auto"/>
              <w:ind w:firstLine="0" w:firstLineChars="0"/>
              <w:rPr>
                <w:rFonts w:hint="default" w:ascii="Times New Roman" w:hAnsi="Times New Roman" w:eastAsia="宋体" w:cs="Times New Roman"/>
                <w:color w:val="auto"/>
                <w:kern w:val="0"/>
                <w:sz w:val="24"/>
              </w:rPr>
            </w:pPr>
          </w:p>
        </w:tc>
      </w:tr>
      <w:tr w14:paraId="2151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6CBBC2C3">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7A2B961E">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752AF0A9">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0B5F75AA">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6831AE6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080601医院用地</w:t>
            </w:r>
          </w:p>
        </w:tc>
        <w:tc>
          <w:tcPr>
            <w:tcW w:w="1636" w:type="dxa"/>
            <w:vMerge w:val="restart"/>
            <w:vAlign w:val="center"/>
          </w:tcPr>
          <w:p w14:paraId="54FBC53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0806医疗卫生用地</w:t>
            </w:r>
          </w:p>
        </w:tc>
        <w:tc>
          <w:tcPr>
            <w:tcW w:w="982" w:type="dxa"/>
            <w:vMerge w:val="continue"/>
            <w:vAlign w:val="center"/>
          </w:tcPr>
          <w:p w14:paraId="59C979C3">
            <w:pPr>
              <w:spacing w:line="240" w:lineRule="auto"/>
              <w:ind w:firstLine="0" w:firstLineChars="0"/>
              <w:rPr>
                <w:rFonts w:hint="default" w:ascii="Times New Roman" w:hAnsi="Times New Roman" w:eastAsia="宋体" w:cs="Times New Roman"/>
                <w:color w:val="auto"/>
                <w:kern w:val="0"/>
                <w:sz w:val="24"/>
              </w:rPr>
            </w:pPr>
          </w:p>
        </w:tc>
      </w:tr>
      <w:tr w14:paraId="0A5D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40BF606C">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08E2D85E">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01934C6B">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0AE7562D">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67E1C3C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080602基层医疗卫生设施用地</w:t>
            </w:r>
          </w:p>
        </w:tc>
        <w:tc>
          <w:tcPr>
            <w:tcW w:w="1636" w:type="dxa"/>
            <w:vMerge w:val="continue"/>
            <w:vAlign w:val="center"/>
          </w:tcPr>
          <w:p w14:paraId="5B1FAC6C">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6926A391">
            <w:pPr>
              <w:spacing w:line="240" w:lineRule="auto"/>
              <w:ind w:firstLine="0" w:firstLineChars="0"/>
              <w:rPr>
                <w:rFonts w:hint="default" w:ascii="Times New Roman" w:hAnsi="Times New Roman" w:eastAsia="宋体" w:cs="Times New Roman"/>
                <w:color w:val="auto"/>
                <w:kern w:val="0"/>
                <w:sz w:val="24"/>
              </w:rPr>
            </w:pPr>
          </w:p>
        </w:tc>
      </w:tr>
      <w:tr w14:paraId="2BBF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35" w:type="dxa"/>
            <w:vMerge w:val="continue"/>
            <w:shd w:val="clear" w:color="auto" w:fill="D9D9D9"/>
            <w:vAlign w:val="center"/>
          </w:tcPr>
          <w:p w14:paraId="4F71694B">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4CE12F7F">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75E7FF63">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603D7A84">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3191F60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080603公共卫生用地</w:t>
            </w:r>
          </w:p>
        </w:tc>
        <w:tc>
          <w:tcPr>
            <w:tcW w:w="1636" w:type="dxa"/>
            <w:vMerge w:val="continue"/>
            <w:vAlign w:val="center"/>
          </w:tcPr>
          <w:p w14:paraId="4798C08A">
            <w:pPr>
              <w:spacing w:line="240" w:lineRule="auto"/>
              <w:ind w:firstLine="0" w:firstLineChars="0"/>
              <w:jc w:val="center"/>
              <w:rPr>
                <w:rFonts w:hint="default" w:ascii="Times New Roman" w:hAnsi="Times New Roman" w:eastAsia="仿宋_GB2312" w:cs="Times New Roman"/>
                <w:color w:val="auto"/>
                <w:sz w:val="24"/>
                <w:szCs w:val="24"/>
              </w:rPr>
            </w:pPr>
          </w:p>
        </w:tc>
        <w:tc>
          <w:tcPr>
            <w:tcW w:w="982" w:type="dxa"/>
            <w:vMerge w:val="continue"/>
            <w:vAlign w:val="center"/>
          </w:tcPr>
          <w:p w14:paraId="4A1F3EFB">
            <w:pPr>
              <w:spacing w:line="240" w:lineRule="auto"/>
              <w:ind w:firstLine="0" w:firstLineChars="0"/>
              <w:rPr>
                <w:rFonts w:hint="default" w:ascii="Times New Roman" w:hAnsi="Times New Roman" w:eastAsia="宋体" w:cs="Times New Roman"/>
                <w:color w:val="auto"/>
                <w:kern w:val="0"/>
                <w:sz w:val="24"/>
              </w:rPr>
            </w:pPr>
          </w:p>
        </w:tc>
      </w:tr>
      <w:tr w14:paraId="2D29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7F4C417F">
            <w:pPr>
              <w:spacing w:line="240" w:lineRule="auto"/>
              <w:ind w:firstLine="0" w:firstLineChars="0"/>
              <w:jc w:val="center"/>
              <w:rPr>
                <w:rFonts w:hint="default" w:ascii="Times New Roman" w:hAnsi="Times New Roman" w:eastAsia="仿宋_GB2312" w:cs="Times New Roman"/>
                <w:color w:val="auto"/>
                <w:sz w:val="24"/>
                <w:szCs w:val="24"/>
              </w:rPr>
            </w:pPr>
          </w:p>
        </w:tc>
        <w:tc>
          <w:tcPr>
            <w:tcW w:w="640" w:type="dxa"/>
            <w:vMerge w:val="continue"/>
            <w:shd w:val="clear" w:color="auto" w:fill="D9D9D9"/>
            <w:vAlign w:val="center"/>
          </w:tcPr>
          <w:p w14:paraId="2B799322">
            <w:pPr>
              <w:spacing w:line="240" w:lineRule="auto"/>
              <w:ind w:firstLine="0" w:firstLineChars="0"/>
              <w:jc w:val="center"/>
              <w:rPr>
                <w:rFonts w:hint="default" w:ascii="Times New Roman" w:hAnsi="Times New Roman" w:eastAsia="仿宋_GB2312" w:cs="Times New Roman"/>
                <w:color w:val="auto"/>
                <w:sz w:val="24"/>
                <w:szCs w:val="24"/>
              </w:rPr>
            </w:pPr>
          </w:p>
        </w:tc>
        <w:tc>
          <w:tcPr>
            <w:tcW w:w="791" w:type="dxa"/>
            <w:vMerge w:val="continue"/>
            <w:shd w:val="clear" w:color="auto" w:fill="D9D9D9"/>
            <w:vAlign w:val="center"/>
          </w:tcPr>
          <w:p w14:paraId="720E4BB3">
            <w:pPr>
              <w:spacing w:line="240" w:lineRule="auto"/>
              <w:ind w:firstLine="0" w:firstLineChars="0"/>
              <w:jc w:val="center"/>
              <w:rPr>
                <w:rFonts w:hint="default" w:ascii="Times New Roman" w:hAnsi="Times New Roman" w:eastAsia="仿宋_GB2312" w:cs="Times New Roman"/>
                <w:color w:val="auto"/>
                <w:sz w:val="24"/>
                <w:szCs w:val="24"/>
              </w:rPr>
            </w:pPr>
          </w:p>
        </w:tc>
        <w:tc>
          <w:tcPr>
            <w:tcW w:w="1487" w:type="dxa"/>
            <w:vMerge w:val="continue"/>
            <w:shd w:val="clear" w:color="auto" w:fill="D9D9D9"/>
            <w:vAlign w:val="center"/>
          </w:tcPr>
          <w:p w14:paraId="297B15C1">
            <w:pPr>
              <w:spacing w:line="240" w:lineRule="auto"/>
              <w:ind w:firstLine="0" w:firstLineChars="0"/>
              <w:jc w:val="center"/>
              <w:rPr>
                <w:rFonts w:hint="default" w:ascii="Times New Roman" w:hAnsi="Times New Roman" w:eastAsia="仿宋_GB2312" w:cs="Times New Roman"/>
                <w:color w:val="auto"/>
                <w:sz w:val="24"/>
                <w:szCs w:val="24"/>
              </w:rPr>
            </w:pPr>
          </w:p>
        </w:tc>
        <w:tc>
          <w:tcPr>
            <w:tcW w:w="3259" w:type="dxa"/>
            <w:vAlign w:val="center"/>
          </w:tcPr>
          <w:p w14:paraId="71FE4D2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080701老年人社会福利用地</w:t>
            </w:r>
          </w:p>
        </w:tc>
        <w:tc>
          <w:tcPr>
            <w:tcW w:w="1636" w:type="dxa"/>
            <w:vMerge w:val="restart"/>
            <w:vAlign w:val="center"/>
          </w:tcPr>
          <w:p w14:paraId="43E39CC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0807社会福利用地</w:t>
            </w:r>
          </w:p>
        </w:tc>
        <w:tc>
          <w:tcPr>
            <w:tcW w:w="982" w:type="dxa"/>
            <w:vMerge w:val="continue"/>
            <w:vAlign w:val="center"/>
          </w:tcPr>
          <w:p w14:paraId="0E033C38">
            <w:pPr>
              <w:widowControl/>
              <w:spacing w:line="240" w:lineRule="auto"/>
              <w:ind w:firstLine="0" w:firstLineChars="0"/>
              <w:rPr>
                <w:rFonts w:hint="default" w:ascii="Times New Roman" w:hAnsi="Times New Roman" w:eastAsia="宋体" w:cs="Times New Roman"/>
                <w:color w:val="auto"/>
                <w:kern w:val="0"/>
                <w:sz w:val="24"/>
              </w:rPr>
            </w:pPr>
          </w:p>
        </w:tc>
      </w:tr>
      <w:tr w14:paraId="2E5F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395DF4C0">
            <w:pPr>
              <w:spacing w:line="240" w:lineRule="auto"/>
              <w:ind w:firstLine="0" w:firstLineChars="0"/>
              <w:jc w:val="center"/>
              <w:rPr>
                <w:rFonts w:hint="default" w:ascii="Times New Roman" w:hAnsi="Times New Roman" w:eastAsia="宋体" w:cs="Times New Roman"/>
                <w:b/>
                <w:color w:val="auto"/>
                <w:sz w:val="24"/>
              </w:rPr>
            </w:pPr>
          </w:p>
        </w:tc>
        <w:tc>
          <w:tcPr>
            <w:tcW w:w="640" w:type="dxa"/>
            <w:vMerge w:val="continue"/>
            <w:shd w:val="clear" w:color="auto" w:fill="D9D9D9"/>
            <w:vAlign w:val="center"/>
          </w:tcPr>
          <w:p w14:paraId="64832D7C">
            <w:pPr>
              <w:spacing w:line="240" w:lineRule="auto"/>
              <w:ind w:firstLine="0" w:firstLineChars="0"/>
              <w:jc w:val="center"/>
              <w:rPr>
                <w:rFonts w:hint="default" w:ascii="Times New Roman" w:hAnsi="Times New Roman" w:eastAsia="宋体" w:cs="Times New Roman"/>
                <w:b/>
                <w:color w:val="auto"/>
                <w:sz w:val="24"/>
                <w:u w:val="single"/>
              </w:rPr>
            </w:pPr>
          </w:p>
        </w:tc>
        <w:tc>
          <w:tcPr>
            <w:tcW w:w="791" w:type="dxa"/>
            <w:vMerge w:val="continue"/>
            <w:shd w:val="clear" w:color="auto" w:fill="D9D9D9"/>
            <w:vAlign w:val="center"/>
          </w:tcPr>
          <w:p w14:paraId="1774CFAE">
            <w:pPr>
              <w:spacing w:line="240" w:lineRule="auto"/>
              <w:ind w:firstLine="0" w:firstLineChars="0"/>
              <w:jc w:val="center"/>
              <w:rPr>
                <w:rFonts w:hint="default" w:ascii="Times New Roman" w:hAnsi="Times New Roman" w:eastAsia="宋体" w:cs="Times New Roman"/>
                <w:color w:val="auto"/>
                <w:sz w:val="24"/>
              </w:rPr>
            </w:pPr>
          </w:p>
        </w:tc>
        <w:tc>
          <w:tcPr>
            <w:tcW w:w="1487" w:type="dxa"/>
            <w:vMerge w:val="continue"/>
            <w:shd w:val="clear" w:color="auto" w:fill="D9D9D9"/>
            <w:vAlign w:val="center"/>
          </w:tcPr>
          <w:p w14:paraId="775013AF">
            <w:pPr>
              <w:spacing w:line="240" w:lineRule="auto"/>
              <w:ind w:firstLine="0" w:firstLineChars="0"/>
              <w:rPr>
                <w:rFonts w:hint="default" w:ascii="Times New Roman" w:hAnsi="Times New Roman" w:eastAsia="宋体" w:cs="Times New Roman"/>
                <w:color w:val="auto"/>
                <w:sz w:val="24"/>
              </w:rPr>
            </w:pPr>
          </w:p>
        </w:tc>
        <w:tc>
          <w:tcPr>
            <w:tcW w:w="3259" w:type="dxa"/>
            <w:vAlign w:val="center"/>
          </w:tcPr>
          <w:p w14:paraId="561019B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080702儿童社会福利用地</w:t>
            </w:r>
          </w:p>
        </w:tc>
        <w:tc>
          <w:tcPr>
            <w:tcW w:w="1636" w:type="dxa"/>
            <w:vMerge w:val="continue"/>
            <w:vAlign w:val="center"/>
          </w:tcPr>
          <w:p w14:paraId="42B81032">
            <w:pPr>
              <w:spacing w:line="240" w:lineRule="auto"/>
              <w:ind w:firstLine="0" w:firstLineChars="0"/>
              <w:rPr>
                <w:rFonts w:hint="default" w:ascii="Times New Roman" w:hAnsi="Times New Roman" w:eastAsia="宋体" w:cs="Times New Roman"/>
                <w:color w:val="auto"/>
                <w:kern w:val="0"/>
                <w:sz w:val="24"/>
              </w:rPr>
            </w:pPr>
          </w:p>
        </w:tc>
        <w:tc>
          <w:tcPr>
            <w:tcW w:w="982" w:type="dxa"/>
            <w:vMerge w:val="continue"/>
            <w:vAlign w:val="center"/>
          </w:tcPr>
          <w:p w14:paraId="2A523245">
            <w:pPr>
              <w:widowControl/>
              <w:spacing w:line="240" w:lineRule="auto"/>
              <w:ind w:firstLine="0" w:firstLineChars="0"/>
              <w:rPr>
                <w:rFonts w:hint="default" w:ascii="Times New Roman" w:hAnsi="Times New Roman" w:eastAsia="宋体" w:cs="Times New Roman"/>
                <w:color w:val="auto"/>
                <w:kern w:val="0"/>
                <w:sz w:val="24"/>
              </w:rPr>
            </w:pPr>
          </w:p>
        </w:tc>
      </w:tr>
      <w:tr w14:paraId="4267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194C5DAF">
            <w:pPr>
              <w:spacing w:line="240" w:lineRule="auto"/>
              <w:ind w:firstLine="0" w:firstLineChars="0"/>
              <w:jc w:val="center"/>
              <w:rPr>
                <w:rFonts w:hint="default" w:ascii="Times New Roman" w:hAnsi="Times New Roman" w:eastAsia="宋体" w:cs="Times New Roman"/>
                <w:b/>
                <w:color w:val="auto"/>
                <w:sz w:val="24"/>
              </w:rPr>
            </w:pPr>
          </w:p>
        </w:tc>
        <w:tc>
          <w:tcPr>
            <w:tcW w:w="640" w:type="dxa"/>
            <w:vMerge w:val="continue"/>
            <w:shd w:val="clear" w:color="auto" w:fill="D9D9D9"/>
            <w:vAlign w:val="center"/>
          </w:tcPr>
          <w:p w14:paraId="21B2B767">
            <w:pPr>
              <w:spacing w:line="240" w:lineRule="auto"/>
              <w:ind w:firstLine="0" w:firstLineChars="0"/>
              <w:jc w:val="center"/>
              <w:rPr>
                <w:rFonts w:hint="default" w:ascii="Times New Roman" w:hAnsi="Times New Roman" w:eastAsia="宋体" w:cs="Times New Roman"/>
                <w:b/>
                <w:color w:val="auto"/>
                <w:sz w:val="24"/>
                <w:u w:val="single"/>
              </w:rPr>
            </w:pPr>
          </w:p>
        </w:tc>
        <w:tc>
          <w:tcPr>
            <w:tcW w:w="791" w:type="dxa"/>
            <w:vMerge w:val="continue"/>
            <w:shd w:val="clear" w:color="auto" w:fill="D9D9D9"/>
            <w:vAlign w:val="center"/>
          </w:tcPr>
          <w:p w14:paraId="6032A011">
            <w:pPr>
              <w:spacing w:line="240" w:lineRule="auto"/>
              <w:ind w:firstLine="0" w:firstLineChars="0"/>
              <w:jc w:val="center"/>
              <w:rPr>
                <w:rFonts w:hint="default" w:ascii="Times New Roman" w:hAnsi="Times New Roman" w:eastAsia="宋体" w:cs="Times New Roman"/>
                <w:color w:val="auto"/>
                <w:sz w:val="24"/>
              </w:rPr>
            </w:pPr>
          </w:p>
        </w:tc>
        <w:tc>
          <w:tcPr>
            <w:tcW w:w="1487" w:type="dxa"/>
            <w:vMerge w:val="continue"/>
            <w:shd w:val="clear" w:color="auto" w:fill="D9D9D9"/>
            <w:vAlign w:val="center"/>
          </w:tcPr>
          <w:p w14:paraId="1133881E">
            <w:pPr>
              <w:spacing w:line="240" w:lineRule="auto"/>
              <w:ind w:firstLine="0" w:firstLineChars="0"/>
              <w:rPr>
                <w:rFonts w:hint="default" w:ascii="Times New Roman" w:hAnsi="Times New Roman" w:eastAsia="宋体" w:cs="Times New Roman"/>
                <w:color w:val="auto"/>
                <w:sz w:val="24"/>
              </w:rPr>
            </w:pPr>
          </w:p>
        </w:tc>
        <w:tc>
          <w:tcPr>
            <w:tcW w:w="3259" w:type="dxa"/>
            <w:vAlign w:val="center"/>
          </w:tcPr>
          <w:p w14:paraId="00F9958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080703残疾人社会福利用地</w:t>
            </w:r>
          </w:p>
        </w:tc>
        <w:tc>
          <w:tcPr>
            <w:tcW w:w="1636" w:type="dxa"/>
            <w:vMerge w:val="continue"/>
            <w:vAlign w:val="center"/>
          </w:tcPr>
          <w:p w14:paraId="01E94EF5">
            <w:pPr>
              <w:spacing w:line="240" w:lineRule="auto"/>
              <w:ind w:firstLine="0" w:firstLineChars="0"/>
              <w:rPr>
                <w:rFonts w:hint="default" w:ascii="Times New Roman" w:hAnsi="Times New Roman" w:eastAsia="宋体" w:cs="Times New Roman"/>
                <w:color w:val="auto"/>
                <w:kern w:val="0"/>
                <w:sz w:val="24"/>
              </w:rPr>
            </w:pPr>
          </w:p>
        </w:tc>
        <w:tc>
          <w:tcPr>
            <w:tcW w:w="982" w:type="dxa"/>
            <w:vMerge w:val="continue"/>
            <w:vAlign w:val="center"/>
          </w:tcPr>
          <w:p w14:paraId="6E86BF5B">
            <w:pPr>
              <w:widowControl/>
              <w:spacing w:line="240" w:lineRule="auto"/>
              <w:ind w:firstLine="0" w:firstLineChars="0"/>
              <w:rPr>
                <w:rFonts w:hint="default" w:ascii="Times New Roman" w:hAnsi="Times New Roman" w:eastAsia="宋体" w:cs="Times New Roman"/>
                <w:color w:val="auto"/>
                <w:kern w:val="0"/>
                <w:sz w:val="24"/>
              </w:rPr>
            </w:pPr>
          </w:p>
        </w:tc>
      </w:tr>
      <w:tr w14:paraId="104A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535" w:type="dxa"/>
            <w:vMerge w:val="continue"/>
            <w:shd w:val="clear" w:color="auto" w:fill="D9D9D9"/>
            <w:vAlign w:val="center"/>
          </w:tcPr>
          <w:p w14:paraId="281A6D46">
            <w:pPr>
              <w:spacing w:line="240" w:lineRule="auto"/>
              <w:ind w:firstLine="0" w:firstLineChars="0"/>
              <w:jc w:val="center"/>
              <w:rPr>
                <w:rFonts w:hint="default" w:ascii="Times New Roman" w:hAnsi="Times New Roman" w:eastAsia="宋体" w:cs="Times New Roman"/>
                <w:b/>
                <w:color w:val="auto"/>
                <w:sz w:val="24"/>
              </w:rPr>
            </w:pPr>
          </w:p>
        </w:tc>
        <w:tc>
          <w:tcPr>
            <w:tcW w:w="640" w:type="dxa"/>
            <w:vMerge w:val="continue"/>
            <w:shd w:val="clear" w:color="auto" w:fill="D9D9D9"/>
            <w:vAlign w:val="center"/>
          </w:tcPr>
          <w:p w14:paraId="18DED8D2">
            <w:pPr>
              <w:spacing w:line="240" w:lineRule="auto"/>
              <w:ind w:firstLine="0" w:firstLineChars="0"/>
              <w:jc w:val="center"/>
              <w:rPr>
                <w:rFonts w:hint="default" w:ascii="Times New Roman" w:hAnsi="Times New Roman" w:eastAsia="宋体" w:cs="Times New Roman"/>
                <w:b/>
                <w:color w:val="auto"/>
                <w:sz w:val="24"/>
                <w:u w:val="single"/>
              </w:rPr>
            </w:pPr>
          </w:p>
        </w:tc>
        <w:tc>
          <w:tcPr>
            <w:tcW w:w="791" w:type="dxa"/>
            <w:vMerge w:val="continue"/>
            <w:shd w:val="clear" w:color="auto" w:fill="D9D9D9"/>
            <w:vAlign w:val="center"/>
          </w:tcPr>
          <w:p w14:paraId="3830A138">
            <w:pPr>
              <w:spacing w:line="240" w:lineRule="auto"/>
              <w:ind w:firstLine="0" w:firstLineChars="0"/>
              <w:jc w:val="center"/>
              <w:rPr>
                <w:rFonts w:hint="default" w:ascii="Times New Roman" w:hAnsi="Times New Roman" w:eastAsia="宋体" w:cs="Times New Roman"/>
                <w:color w:val="auto"/>
                <w:sz w:val="24"/>
              </w:rPr>
            </w:pPr>
          </w:p>
        </w:tc>
        <w:tc>
          <w:tcPr>
            <w:tcW w:w="1487" w:type="dxa"/>
            <w:vMerge w:val="continue"/>
            <w:shd w:val="clear" w:color="auto" w:fill="D9D9D9"/>
            <w:vAlign w:val="center"/>
          </w:tcPr>
          <w:p w14:paraId="3CA5AC46">
            <w:pPr>
              <w:spacing w:line="240" w:lineRule="auto"/>
              <w:ind w:firstLine="0" w:firstLineChars="0"/>
              <w:rPr>
                <w:rFonts w:hint="default" w:ascii="Times New Roman" w:hAnsi="Times New Roman" w:eastAsia="宋体" w:cs="Times New Roman"/>
                <w:color w:val="auto"/>
                <w:sz w:val="24"/>
              </w:rPr>
            </w:pPr>
          </w:p>
        </w:tc>
        <w:tc>
          <w:tcPr>
            <w:tcW w:w="3259" w:type="dxa"/>
            <w:vAlign w:val="center"/>
          </w:tcPr>
          <w:p w14:paraId="3ACEC57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080704其他社会福利用地</w:t>
            </w:r>
          </w:p>
        </w:tc>
        <w:tc>
          <w:tcPr>
            <w:tcW w:w="1636" w:type="dxa"/>
            <w:vMerge w:val="continue"/>
            <w:vAlign w:val="center"/>
          </w:tcPr>
          <w:p w14:paraId="297AE789">
            <w:pPr>
              <w:spacing w:line="240" w:lineRule="auto"/>
              <w:ind w:firstLine="0" w:firstLineChars="0"/>
              <w:rPr>
                <w:rFonts w:hint="default" w:ascii="Times New Roman" w:hAnsi="Times New Roman" w:eastAsia="宋体" w:cs="Times New Roman"/>
                <w:color w:val="auto"/>
                <w:kern w:val="0"/>
                <w:sz w:val="24"/>
              </w:rPr>
            </w:pPr>
          </w:p>
        </w:tc>
        <w:tc>
          <w:tcPr>
            <w:tcW w:w="982" w:type="dxa"/>
            <w:vMerge w:val="continue"/>
            <w:vAlign w:val="center"/>
          </w:tcPr>
          <w:p w14:paraId="6B11432A">
            <w:pPr>
              <w:widowControl/>
              <w:spacing w:line="240" w:lineRule="auto"/>
              <w:ind w:firstLine="0" w:firstLineChars="0"/>
              <w:rPr>
                <w:rFonts w:hint="default" w:ascii="Times New Roman" w:hAnsi="Times New Roman" w:eastAsia="宋体" w:cs="Times New Roman"/>
                <w:color w:val="auto"/>
                <w:kern w:val="0"/>
                <w:sz w:val="24"/>
              </w:rPr>
            </w:pPr>
          </w:p>
        </w:tc>
      </w:tr>
    </w:tbl>
    <w:p w14:paraId="53F7F7B3">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通过以上标准梳理，建立了噪声法中噪声敏感建筑物与各标准中各用地类别的对应关系，详见表</w:t>
      </w:r>
      <w:r>
        <w:rPr>
          <w:rFonts w:hint="eastAsia" w:cs="Times New Roman"/>
          <w:color w:val="auto"/>
          <w:lang w:val="en-US" w:eastAsia="zh-CN"/>
        </w:rPr>
        <w:t>4-5</w:t>
      </w:r>
      <w:r>
        <w:rPr>
          <w:rFonts w:hint="default" w:ascii="Times New Roman" w:hAnsi="Times New Roman" w:cs="Times New Roman"/>
          <w:color w:val="auto"/>
        </w:rPr>
        <w:t>。</w:t>
      </w:r>
    </w:p>
    <w:p w14:paraId="1B2C3E7D">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sectPr>
          <w:headerReference r:id="rId5" w:type="default"/>
          <w:footerReference r:id="rId6" w:type="default"/>
          <w:pgSz w:w="11906" w:h="16838"/>
          <w:pgMar w:top="1134" w:right="1134" w:bottom="851" w:left="1134" w:header="851" w:footer="992" w:gutter="0"/>
          <w:cols w:space="425" w:num="1"/>
          <w:docGrid w:type="lines" w:linePitch="312" w:charSpace="0"/>
        </w:sectPr>
      </w:pPr>
    </w:p>
    <w:p w14:paraId="0FF291E5">
      <w:pPr>
        <w:spacing w:line="560" w:lineRule="exact"/>
        <w:ind w:firstLine="0" w:firstLineChars="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eastAsia="黑体" w:cs="Times New Roman"/>
          <w:color w:val="auto"/>
          <w:sz w:val="24"/>
          <w:szCs w:val="24"/>
          <w:lang w:val="en-US" w:eastAsia="zh-CN"/>
        </w:rPr>
        <w:t>4-5</w:t>
      </w:r>
      <w:r>
        <w:rPr>
          <w:rFonts w:hint="default" w:ascii="Times New Roman" w:hAnsi="Times New Roman" w:eastAsia="黑体" w:cs="Times New Roman"/>
          <w:color w:val="auto"/>
          <w:sz w:val="24"/>
          <w:szCs w:val="24"/>
        </w:rPr>
        <w:t xml:space="preserve"> 各标准规范用地分类和噪声敏感建筑物类型对应表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2902"/>
        <w:gridCol w:w="3314"/>
        <w:gridCol w:w="3409"/>
        <w:gridCol w:w="3238"/>
      </w:tblGrid>
      <w:tr w14:paraId="0B23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0B907C41">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《噪声法》中噪声敏感建筑物</w:t>
            </w:r>
          </w:p>
        </w:tc>
        <w:tc>
          <w:tcPr>
            <w:tcW w:w="2902" w:type="dxa"/>
            <w:vAlign w:val="center"/>
          </w:tcPr>
          <w:p w14:paraId="6A8BA42F">
            <w:pPr>
              <w:spacing w:line="240" w:lineRule="auto"/>
              <w:ind w:firstLine="0" w:firstLineChars="0"/>
              <w:jc w:val="center"/>
              <w:rPr>
                <w:rFonts w:hint="default" w:ascii="Times New Roman" w:hAnsi="Times New Roman" w:eastAsia="仿宋_GB2312" w:cs="Times New Roman"/>
                <w:b/>
                <w:bCs/>
                <w:color w:val="auto"/>
                <w:sz w:val="24"/>
                <w:szCs w:val="24"/>
              </w:rPr>
            </w:pPr>
            <w:bookmarkStart w:id="22" w:name="_Hlk195028290"/>
            <w:r>
              <w:rPr>
                <w:rFonts w:hint="default" w:ascii="Times New Roman" w:hAnsi="Times New Roman" w:eastAsia="仿宋_GB2312" w:cs="Times New Roman"/>
                <w:b/>
                <w:bCs/>
                <w:color w:val="auto"/>
                <w:sz w:val="24"/>
                <w:szCs w:val="24"/>
              </w:rPr>
              <w:t>《城市用地分类与规划建设用地标准》</w:t>
            </w:r>
            <w:bookmarkEnd w:id="22"/>
          </w:p>
          <w:p w14:paraId="40FB784B">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（GB 50137—2011）</w:t>
            </w:r>
          </w:p>
        </w:tc>
        <w:tc>
          <w:tcPr>
            <w:tcW w:w="3314" w:type="dxa"/>
            <w:vAlign w:val="center"/>
          </w:tcPr>
          <w:p w14:paraId="0A42B54F">
            <w:pPr>
              <w:spacing w:line="240" w:lineRule="auto"/>
              <w:ind w:firstLine="0" w:firstLineChars="0"/>
              <w:jc w:val="center"/>
              <w:rPr>
                <w:rFonts w:hint="default" w:ascii="Times New Roman" w:hAnsi="Times New Roman" w:eastAsia="仿宋_GB2312" w:cs="Times New Roman"/>
                <w:b/>
                <w:bCs/>
                <w:color w:val="auto"/>
                <w:sz w:val="24"/>
                <w:szCs w:val="24"/>
              </w:rPr>
            </w:pPr>
            <w:bookmarkStart w:id="23" w:name="_Hlk195028301"/>
            <w:r>
              <w:rPr>
                <w:rFonts w:hint="default" w:ascii="Times New Roman" w:hAnsi="Times New Roman" w:eastAsia="仿宋_GB2312" w:cs="Times New Roman"/>
                <w:b/>
                <w:bCs/>
                <w:color w:val="auto"/>
                <w:sz w:val="24"/>
                <w:szCs w:val="24"/>
              </w:rPr>
              <w:t>《土地利用现状分类》</w:t>
            </w:r>
            <w:bookmarkEnd w:id="23"/>
            <w:r>
              <w:rPr>
                <w:rFonts w:hint="default" w:ascii="Times New Roman" w:hAnsi="Times New Roman" w:eastAsia="仿宋_GB2312" w:cs="Times New Roman"/>
                <w:b/>
                <w:bCs/>
                <w:color w:val="auto"/>
                <w:sz w:val="24"/>
                <w:szCs w:val="24"/>
              </w:rPr>
              <w:t>（GB/T21010-2017）</w:t>
            </w:r>
          </w:p>
        </w:tc>
        <w:tc>
          <w:tcPr>
            <w:tcW w:w="3409" w:type="dxa"/>
            <w:vAlign w:val="center"/>
          </w:tcPr>
          <w:p w14:paraId="3C3245EE">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《国土空间调查、规划、用途管制用地用海分类指南》（自然资发〔2023〕234号）</w:t>
            </w:r>
          </w:p>
        </w:tc>
        <w:tc>
          <w:tcPr>
            <w:tcW w:w="3238" w:type="dxa"/>
            <w:vAlign w:val="center"/>
          </w:tcPr>
          <w:p w14:paraId="6FB19812">
            <w:pPr>
              <w:spacing w:line="240" w:lineRule="auto"/>
              <w:ind w:firstLine="0" w:firstLineChars="0"/>
              <w:jc w:val="center"/>
              <w:rPr>
                <w:rFonts w:hint="default" w:ascii="Times New Roman" w:hAnsi="Times New Roman" w:eastAsia="仿宋_GB2312" w:cs="Times New Roman"/>
                <w:b/>
                <w:bCs/>
                <w:color w:val="auto"/>
                <w:sz w:val="24"/>
                <w:szCs w:val="24"/>
              </w:rPr>
            </w:pPr>
            <w:r>
              <w:rPr>
                <w:rFonts w:hint="default" w:ascii="Times New Roman" w:hAnsi="Times New Roman" w:eastAsia="仿宋_GB2312" w:cs="Times New Roman"/>
                <w:b/>
                <w:bCs/>
                <w:color w:val="auto"/>
                <w:sz w:val="24"/>
                <w:szCs w:val="24"/>
              </w:rPr>
              <w:t>第三次全国国土调查工作分类</w:t>
            </w:r>
          </w:p>
        </w:tc>
      </w:tr>
      <w:tr w14:paraId="7457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791CED5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2902" w:type="dxa"/>
            <w:vAlign w:val="center"/>
          </w:tcPr>
          <w:p w14:paraId="65CAC57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（R类）居住用地</w:t>
            </w:r>
          </w:p>
        </w:tc>
        <w:tc>
          <w:tcPr>
            <w:tcW w:w="3314" w:type="dxa"/>
            <w:vAlign w:val="center"/>
          </w:tcPr>
          <w:p w14:paraId="2F06B84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07住宅用地中0701城镇住宅用地和0702农村宅基地</w:t>
            </w:r>
          </w:p>
        </w:tc>
        <w:tc>
          <w:tcPr>
            <w:tcW w:w="3409" w:type="dxa"/>
            <w:vAlign w:val="center"/>
          </w:tcPr>
          <w:p w14:paraId="2FD774C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07居住用地中0701城镇住宅用地、0702城镇社区服务设施用地、0703农村宅基地、0704农村社区服务设施用地</w:t>
            </w:r>
          </w:p>
        </w:tc>
        <w:tc>
          <w:tcPr>
            <w:tcW w:w="3238" w:type="dxa"/>
            <w:vAlign w:val="center"/>
          </w:tcPr>
          <w:p w14:paraId="77A79DA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07住宅用地中0701城镇住宅用地和0702农村宅基地</w:t>
            </w:r>
          </w:p>
        </w:tc>
      </w:tr>
      <w:tr w14:paraId="5E4A4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4B3B474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科学研究</w:t>
            </w:r>
          </w:p>
        </w:tc>
        <w:tc>
          <w:tcPr>
            <w:tcW w:w="2902" w:type="dxa"/>
            <w:vAlign w:val="center"/>
          </w:tcPr>
          <w:p w14:paraId="3C29B3A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（A3）教育科研用地</w:t>
            </w:r>
          </w:p>
        </w:tc>
        <w:tc>
          <w:tcPr>
            <w:tcW w:w="3314" w:type="dxa"/>
            <w:vAlign w:val="center"/>
          </w:tcPr>
          <w:p w14:paraId="26DEC1A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0804科研用地</w:t>
            </w:r>
          </w:p>
        </w:tc>
        <w:tc>
          <w:tcPr>
            <w:tcW w:w="3409" w:type="dxa"/>
            <w:vAlign w:val="center"/>
          </w:tcPr>
          <w:p w14:paraId="4AB6DF6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0802科研用地</w:t>
            </w:r>
          </w:p>
        </w:tc>
        <w:tc>
          <w:tcPr>
            <w:tcW w:w="3238" w:type="dxa"/>
            <w:vAlign w:val="center"/>
          </w:tcPr>
          <w:p w14:paraId="64A663A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08H2科教文卫用地</w:t>
            </w:r>
          </w:p>
        </w:tc>
      </w:tr>
      <w:tr w14:paraId="305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63D498F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医疗卫生</w:t>
            </w:r>
          </w:p>
        </w:tc>
        <w:tc>
          <w:tcPr>
            <w:tcW w:w="2902" w:type="dxa"/>
            <w:vAlign w:val="center"/>
          </w:tcPr>
          <w:p w14:paraId="6DFD8D0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（A5）医疗卫生用地</w:t>
            </w:r>
          </w:p>
        </w:tc>
        <w:tc>
          <w:tcPr>
            <w:tcW w:w="3314" w:type="dxa"/>
            <w:vAlign w:val="center"/>
          </w:tcPr>
          <w:p w14:paraId="3317459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0805医疗卫生用地</w:t>
            </w:r>
          </w:p>
        </w:tc>
        <w:tc>
          <w:tcPr>
            <w:tcW w:w="3409" w:type="dxa"/>
            <w:vAlign w:val="center"/>
          </w:tcPr>
          <w:p w14:paraId="1ED49C3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0806医疗卫生用地</w:t>
            </w:r>
          </w:p>
        </w:tc>
        <w:tc>
          <w:tcPr>
            <w:tcW w:w="3238" w:type="dxa"/>
            <w:vAlign w:val="center"/>
          </w:tcPr>
          <w:p w14:paraId="5D7A1AA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08H2科教文卫用地</w:t>
            </w:r>
          </w:p>
        </w:tc>
      </w:tr>
      <w:tr w14:paraId="53DF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1478BE0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文化教育</w:t>
            </w:r>
          </w:p>
        </w:tc>
        <w:tc>
          <w:tcPr>
            <w:tcW w:w="2902" w:type="dxa"/>
            <w:vAlign w:val="center"/>
          </w:tcPr>
          <w:p w14:paraId="771F39B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（A2）文化设施用地</w:t>
            </w:r>
          </w:p>
        </w:tc>
        <w:tc>
          <w:tcPr>
            <w:tcW w:w="3314" w:type="dxa"/>
            <w:vAlign w:val="center"/>
          </w:tcPr>
          <w:p w14:paraId="03F5B7D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0807文化设施用地和0803教育用地</w:t>
            </w:r>
          </w:p>
        </w:tc>
        <w:tc>
          <w:tcPr>
            <w:tcW w:w="3409" w:type="dxa"/>
            <w:vAlign w:val="center"/>
          </w:tcPr>
          <w:p w14:paraId="04995F2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0803文化用地和0804教育用地</w:t>
            </w:r>
          </w:p>
        </w:tc>
        <w:tc>
          <w:tcPr>
            <w:tcW w:w="3238" w:type="dxa"/>
            <w:vAlign w:val="center"/>
          </w:tcPr>
          <w:p w14:paraId="0AE37A8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08H2科教文卫用地</w:t>
            </w:r>
          </w:p>
        </w:tc>
      </w:tr>
      <w:tr w14:paraId="329B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4A071B9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机关团体办公</w:t>
            </w:r>
          </w:p>
        </w:tc>
        <w:tc>
          <w:tcPr>
            <w:tcW w:w="2902" w:type="dxa"/>
            <w:vAlign w:val="center"/>
          </w:tcPr>
          <w:p w14:paraId="0DBA0BF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（A1）行政办公用地</w:t>
            </w:r>
          </w:p>
        </w:tc>
        <w:tc>
          <w:tcPr>
            <w:tcW w:w="3314" w:type="dxa"/>
            <w:vAlign w:val="center"/>
          </w:tcPr>
          <w:p w14:paraId="35696DE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0801机关团体用地</w:t>
            </w:r>
          </w:p>
        </w:tc>
        <w:tc>
          <w:tcPr>
            <w:tcW w:w="3409" w:type="dxa"/>
            <w:vAlign w:val="center"/>
          </w:tcPr>
          <w:p w14:paraId="28A9FDB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0801机关团体用地</w:t>
            </w:r>
          </w:p>
        </w:tc>
        <w:tc>
          <w:tcPr>
            <w:tcW w:w="3238" w:type="dxa"/>
            <w:vAlign w:val="center"/>
          </w:tcPr>
          <w:p w14:paraId="1C77950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08H1机关团体新闻出版用地</w:t>
            </w:r>
          </w:p>
        </w:tc>
      </w:tr>
      <w:tr w14:paraId="5B527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Align w:val="center"/>
          </w:tcPr>
          <w:p w14:paraId="0691654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社会福利</w:t>
            </w:r>
          </w:p>
        </w:tc>
        <w:tc>
          <w:tcPr>
            <w:tcW w:w="2902" w:type="dxa"/>
            <w:vAlign w:val="center"/>
          </w:tcPr>
          <w:p w14:paraId="12E66F7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（A6）社会福利设施用地</w:t>
            </w:r>
          </w:p>
        </w:tc>
        <w:tc>
          <w:tcPr>
            <w:tcW w:w="3314" w:type="dxa"/>
            <w:vAlign w:val="center"/>
          </w:tcPr>
          <w:p w14:paraId="2D4FF86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0806社会福利用地</w:t>
            </w:r>
          </w:p>
        </w:tc>
        <w:tc>
          <w:tcPr>
            <w:tcW w:w="3409" w:type="dxa"/>
            <w:vAlign w:val="center"/>
          </w:tcPr>
          <w:p w14:paraId="6FFA94F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0807社会福利用地</w:t>
            </w:r>
          </w:p>
        </w:tc>
        <w:tc>
          <w:tcPr>
            <w:tcW w:w="3238" w:type="dxa"/>
            <w:vAlign w:val="center"/>
          </w:tcPr>
          <w:p w14:paraId="7B327F8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08H2科教文卫用地</w:t>
            </w:r>
          </w:p>
        </w:tc>
      </w:tr>
    </w:tbl>
    <w:p w14:paraId="161A3F59">
      <w:pPr>
        <w:tabs>
          <w:tab w:val="left" w:pos="1380"/>
        </w:tabs>
        <w:ind w:firstLine="640"/>
        <w:rPr>
          <w:rFonts w:hint="default" w:ascii="Times New Roman" w:hAnsi="Times New Roman" w:cs="Times New Roman"/>
          <w:color w:val="auto"/>
        </w:rPr>
        <w:sectPr>
          <w:pgSz w:w="16838" w:h="11906" w:orient="landscape"/>
          <w:pgMar w:top="1134" w:right="1134" w:bottom="1134" w:left="851" w:header="851" w:footer="992" w:gutter="0"/>
          <w:cols w:space="425" w:num="1"/>
          <w:docGrid w:type="lines" w:linePitch="312" w:charSpace="0"/>
        </w:sectPr>
      </w:pPr>
      <w:r>
        <w:rPr>
          <w:rFonts w:hint="default" w:ascii="Times New Roman" w:hAnsi="Times New Roman" w:cs="Times New Roman"/>
          <w:color w:val="auto"/>
        </w:rPr>
        <w:tab/>
      </w:r>
    </w:p>
    <w:p w14:paraId="1A0A3E64">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根据对应关系，可利用用地资料初步筛选出用地分类现状符合噪声敏感建筑物性质的区域，再结合遥感影像图、现场踏勘和建筑分类情况对划分单元予以甄别划定；对于用地类别和噪声敏感建筑物性质无法对应的区域，应结合遥感影像和现场调查情况识别潜在划分单元，避免因仅靠用地分类划分而造成的划分单元划分不全情况。当划分单元边界为交通干线或非交通干线时，按照 GB/T 15190的要求，以各级市政道路与人行道的交界线、无人行道的高架道路地面投影边界、各级公路的边界线、铁路交通用地边界线、城市轨道交通用地边界线、内河航道的河堤护栏或堤外坡角等作为划分单元界线。</w:t>
      </w:r>
    </w:p>
    <w:p w14:paraId="1A861D99">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（2）分类核定</w:t>
      </w:r>
    </w:p>
    <w:p w14:paraId="7F6198C3">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本划定规范将划分单元中的噪声敏感建筑物（建筑物群）划为两类。其中用于居住、医疗卫生的建筑物划分为一类噪声敏感建筑物（建筑物群），将用于科学研究、文化教育、机关团体办公、社会福利的建筑物划分为二类噪声敏感建筑物（建筑物群）。其余划分单元定为非噪声敏感建筑物（建筑物群）。</w:t>
      </w:r>
    </w:p>
    <w:p w14:paraId="5E2E5EF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分类是结合南京市的实际管理需要，对六类噪声敏感建筑物进行分析，从人群分布分析，用于居住、医疗卫生的建筑物内夜间人群分布较多，对夜间声环境质量要求较高，因此对于该类建筑物，噪声敏感建筑物集中区域划定的边界范围需适当拓宽。对于其他四类噪声敏感建筑物，主要人群分布及活动以昼间为主，夜间22:00以后人群分布较少，因此将其划为二类噪声敏感建筑物。</w:t>
      </w:r>
    </w:p>
    <w:p w14:paraId="33FEC3FD">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通过噪声敏感建筑物的分类管理，对噪声敏感建筑物集中区域在此基础上进行分类划分，更好地与人群对声环境质量的体验需求相适应。</w:t>
      </w:r>
    </w:p>
    <w:p w14:paraId="3D45430D">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（3）清单制图</w:t>
      </w:r>
    </w:p>
    <w:p w14:paraId="5B955EC6">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在分类统计基础上，建立划分单元统计清单及分布图，具体见附录E要求。</w:t>
      </w:r>
    </w:p>
    <w:p w14:paraId="628FBE1F">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噪声敏感建筑物划分单元及非噪声敏感建筑物划分单元清单示例见表</w:t>
      </w:r>
      <w:r>
        <w:rPr>
          <w:rFonts w:hint="eastAsia" w:cs="Times New Roman"/>
          <w:color w:val="auto"/>
          <w:lang w:val="en-US" w:eastAsia="zh-CN"/>
        </w:rPr>
        <w:t>4-6</w:t>
      </w:r>
      <w:r>
        <w:rPr>
          <w:rFonts w:hint="default" w:ascii="Times New Roman" w:hAnsi="Times New Roman" w:cs="Times New Roman"/>
          <w:color w:val="auto"/>
        </w:rPr>
        <w:t>及表</w:t>
      </w:r>
      <w:r>
        <w:rPr>
          <w:rFonts w:hint="eastAsia" w:cs="Times New Roman"/>
          <w:color w:val="auto"/>
          <w:lang w:val="en-US" w:eastAsia="zh-CN"/>
        </w:rPr>
        <w:t>4-7</w:t>
      </w:r>
      <w:r>
        <w:rPr>
          <w:rFonts w:hint="default" w:ascii="Times New Roman" w:hAnsi="Times New Roman" w:cs="Times New Roman"/>
          <w:color w:val="auto"/>
        </w:rPr>
        <w:t>。建筑物划分单元分布示例图见图</w:t>
      </w:r>
      <w:r>
        <w:rPr>
          <w:rFonts w:hint="eastAsia" w:cs="Times New Roman"/>
          <w:color w:val="auto"/>
          <w:lang w:val="en-US" w:eastAsia="zh-CN"/>
        </w:rPr>
        <w:t>4-1</w:t>
      </w:r>
      <w:r>
        <w:rPr>
          <w:rFonts w:hint="default" w:ascii="Times New Roman" w:hAnsi="Times New Roman" w:cs="Times New Roman"/>
          <w:color w:val="auto"/>
        </w:rPr>
        <w:t>。</w:t>
      </w:r>
    </w:p>
    <w:p w14:paraId="3F7DA685">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4-6</w:t>
      </w:r>
      <w:r>
        <w:rPr>
          <w:rFonts w:hint="default" w:ascii="Times New Roman" w:hAnsi="Times New Roman" w:eastAsia="黑体" w:cs="Times New Roman"/>
          <w:color w:val="auto"/>
          <w:sz w:val="21"/>
          <w:szCs w:val="21"/>
        </w:rPr>
        <w:t xml:space="preserve"> 噪声敏感建筑物（建筑物群）划分单元清单示例</w:t>
      </w:r>
    </w:p>
    <w:tbl>
      <w:tblPr>
        <w:tblStyle w:val="9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650"/>
        <w:gridCol w:w="2324"/>
        <w:gridCol w:w="1926"/>
        <w:gridCol w:w="1424"/>
        <w:gridCol w:w="1512"/>
      </w:tblGrid>
      <w:tr w14:paraId="0623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2" w:type="dxa"/>
            <w:vAlign w:val="center"/>
          </w:tcPr>
          <w:p w14:paraId="526A0E70">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序号</w:t>
            </w:r>
          </w:p>
        </w:tc>
        <w:tc>
          <w:tcPr>
            <w:tcW w:w="1650" w:type="dxa"/>
            <w:vAlign w:val="center"/>
          </w:tcPr>
          <w:p w14:paraId="39FC29EC">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所属行政区</w:t>
            </w:r>
          </w:p>
        </w:tc>
        <w:tc>
          <w:tcPr>
            <w:tcW w:w="2324" w:type="dxa"/>
            <w:vAlign w:val="center"/>
          </w:tcPr>
          <w:p w14:paraId="49B8BB86">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单元名称</w:t>
            </w:r>
          </w:p>
        </w:tc>
        <w:tc>
          <w:tcPr>
            <w:tcW w:w="1926" w:type="dxa"/>
            <w:vAlign w:val="center"/>
          </w:tcPr>
          <w:p w14:paraId="4EFEDF8B">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单元面积</w:t>
            </w:r>
            <w:r>
              <w:rPr>
                <w:rFonts w:hint="default" w:ascii="Times New Roman" w:hAnsi="Times New Roman" w:eastAsia="仿宋_GB2312" w:cs="Times New Roman"/>
                <w:bCs/>
                <w:color w:val="auto"/>
                <w:sz w:val="24"/>
              </w:rPr>
              <w:t>（km</w:t>
            </w:r>
            <w:r>
              <w:rPr>
                <w:rFonts w:hint="default" w:ascii="Times New Roman" w:hAnsi="Times New Roman" w:eastAsia="仿宋_GB2312" w:cs="Times New Roman"/>
                <w:bCs/>
                <w:color w:val="auto"/>
                <w:sz w:val="24"/>
                <w:vertAlign w:val="superscript"/>
              </w:rPr>
              <w:t>2</w:t>
            </w:r>
            <w:r>
              <w:rPr>
                <w:rFonts w:hint="default" w:ascii="Times New Roman" w:hAnsi="Times New Roman" w:eastAsia="仿宋_GB2312" w:cs="Times New Roman"/>
                <w:bCs/>
                <w:color w:val="auto"/>
                <w:sz w:val="24"/>
              </w:rPr>
              <w:t>）</w:t>
            </w:r>
          </w:p>
        </w:tc>
        <w:tc>
          <w:tcPr>
            <w:tcW w:w="1424" w:type="dxa"/>
            <w:vAlign w:val="center"/>
          </w:tcPr>
          <w:p w14:paraId="5C224C98">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建筑物类型</w:t>
            </w:r>
          </w:p>
        </w:tc>
        <w:tc>
          <w:tcPr>
            <w:tcW w:w="1512" w:type="dxa"/>
            <w:vAlign w:val="center"/>
          </w:tcPr>
          <w:p w14:paraId="22D2A580">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敏感建筑物类型</w:t>
            </w:r>
          </w:p>
        </w:tc>
      </w:tr>
      <w:tr w14:paraId="755B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27E2ECA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p>
        </w:tc>
        <w:tc>
          <w:tcPr>
            <w:tcW w:w="1650" w:type="dxa"/>
            <w:vAlign w:val="center"/>
          </w:tcPr>
          <w:p w14:paraId="6AE9F26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479E623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天后社区</w:t>
            </w:r>
          </w:p>
        </w:tc>
        <w:tc>
          <w:tcPr>
            <w:tcW w:w="1926" w:type="dxa"/>
            <w:vAlign w:val="center"/>
          </w:tcPr>
          <w:p w14:paraId="222BC39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0.01564</w:t>
            </w:r>
          </w:p>
        </w:tc>
        <w:tc>
          <w:tcPr>
            <w:tcW w:w="1424" w:type="dxa"/>
            <w:vAlign w:val="center"/>
          </w:tcPr>
          <w:p w14:paraId="20D0190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03FBFE6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47A7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5745899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w:t>
            </w:r>
          </w:p>
        </w:tc>
        <w:tc>
          <w:tcPr>
            <w:tcW w:w="1650" w:type="dxa"/>
            <w:vAlign w:val="center"/>
          </w:tcPr>
          <w:p w14:paraId="535A5DB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21BD079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天后社区民房</w:t>
            </w:r>
          </w:p>
        </w:tc>
        <w:tc>
          <w:tcPr>
            <w:tcW w:w="1926" w:type="dxa"/>
            <w:vAlign w:val="center"/>
          </w:tcPr>
          <w:p w14:paraId="6BD9884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0.00905</w:t>
            </w:r>
          </w:p>
        </w:tc>
        <w:tc>
          <w:tcPr>
            <w:tcW w:w="1424" w:type="dxa"/>
            <w:vAlign w:val="center"/>
          </w:tcPr>
          <w:p w14:paraId="77F458C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134E8DE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4CE6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7C2C595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w:t>
            </w:r>
          </w:p>
        </w:tc>
        <w:tc>
          <w:tcPr>
            <w:tcW w:w="1650" w:type="dxa"/>
            <w:vAlign w:val="center"/>
          </w:tcPr>
          <w:p w14:paraId="1E11458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4C6D591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十四所厂区职工宿舍</w:t>
            </w:r>
          </w:p>
        </w:tc>
        <w:tc>
          <w:tcPr>
            <w:tcW w:w="1926" w:type="dxa"/>
            <w:vAlign w:val="center"/>
          </w:tcPr>
          <w:p w14:paraId="19FECD0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0.07642</w:t>
            </w:r>
          </w:p>
        </w:tc>
        <w:tc>
          <w:tcPr>
            <w:tcW w:w="1424" w:type="dxa"/>
            <w:vAlign w:val="center"/>
          </w:tcPr>
          <w:p w14:paraId="2E2D680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5F0B3B1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1C3D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4619335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w:t>
            </w:r>
          </w:p>
        </w:tc>
        <w:tc>
          <w:tcPr>
            <w:tcW w:w="1650" w:type="dxa"/>
            <w:vAlign w:val="center"/>
          </w:tcPr>
          <w:p w14:paraId="1FABFE2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4FD3818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十四所生活区</w:t>
            </w:r>
          </w:p>
        </w:tc>
        <w:tc>
          <w:tcPr>
            <w:tcW w:w="1926" w:type="dxa"/>
            <w:vAlign w:val="center"/>
          </w:tcPr>
          <w:p w14:paraId="001CC14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0.01436</w:t>
            </w:r>
          </w:p>
        </w:tc>
        <w:tc>
          <w:tcPr>
            <w:tcW w:w="1424" w:type="dxa"/>
            <w:vAlign w:val="center"/>
          </w:tcPr>
          <w:p w14:paraId="4CB806B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6A2EB0B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1BDB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0C853FC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w:t>
            </w:r>
          </w:p>
        </w:tc>
        <w:tc>
          <w:tcPr>
            <w:tcW w:w="1650" w:type="dxa"/>
            <w:vAlign w:val="center"/>
          </w:tcPr>
          <w:p w14:paraId="664BCBC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6EED9EE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临时工棚</w:t>
            </w:r>
          </w:p>
        </w:tc>
        <w:tc>
          <w:tcPr>
            <w:tcW w:w="1926" w:type="dxa"/>
            <w:vAlign w:val="center"/>
          </w:tcPr>
          <w:p w14:paraId="2CF5A7F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0.00625</w:t>
            </w:r>
          </w:p>
        </w:tc>
        <w:tc>
          <w:tcPr>
            <w:tcW w:w="1424" w:type="dxa"/>
            <w:vAlign w:val="center"/>
          </w:tcPr>
          <w:p w14:paraId="01F8AE4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67394A1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51AAD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595D98B1">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w:t>
            </w:r>
          </w:p>
        </w:tc>
        <w:tc>
          <w:tcPr>
            <w:tcW w:w="1650" w:type="dxa"/>
            <w:vAlign w:val="center"/>
          </w:tcPr>
          <w:p w14:paraId="2424018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76B7AD5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中建五局工地生活区</w:t>
            </w:r>
          </w:p>
        </w:tc>
        <w:tc>
          <w:tcPr>
            <w:tcW w:w="1926" w:type="dxa"/>
            <w:vAlign w:val="center"/>
          </w:tcPr>
          <w:p w14:paraId="7F81EA2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0.03568</w:t>
            </w:r>
          </w:p>
        </w:tc>
        <w:tc>
          <w:tcPr>
            <w:tcW w:w="1424" w:type="dxa"/>
            <w:vAlign w:val="center"/>
          </w:tcPr>
          <w:p w14:paraId="653A27C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3600A44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7290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23055F4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7</w:t>
            </w:r>
          </w:p>
        </w:tc>
        <w:tc>
          <w:tcPr>
            <w:tcW w:w="1650" w:type="dxa"/>
            <w:vAlign w:val="center"/>
          </w:tcPr>
          <w:p w14:paraId="7F38C29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2024EEF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西寇社区</w:t>
            </w:r>
          </w:p>
        </w:tc>
        <w:tc>
          <w:tcPr>
            <w:tcW w:w="1926" w:type="dxa"/>
            <w:vAlign w:val="center"/>
          </w:tcPr>
          <w:p w14:paraId="43EFB70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0.01876</w:t>
            </w:r>
          </w:p>
        </w:tc>
        <w:tc>
          <w:tcPr>
            <w:tcW w:w="1424" w:type="dxa"/>
            <w:vAlign w:val="center"/>
          </w:tcPr>
          <w:p w14:paraId="76B5B91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5E4E07D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41D3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3AC475E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8</w:t>
            </w:r>
          </w:p>
        </w:tc>
        <w:tc>
          <w:tcPr>
            <w:tcW w:w="1650" w:type="dxa"/>
            <w:vAlign w:val="center"/>
          </w:tcPr>
          <w:p w14:paraId="3D7C4CB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1DEAD52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苏宁职工宿舍</w:t>
            </w:r>
          </w:p>
        </w:tc>
        <w:tc>
          <w:tcPr>
            <w:tcW w:w="1926" w:type="dxa"/>
            <w:vAlign w:val="center"/>
          </w:tcPr>
          <w:p w14:paraId="54FF737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0.07886</w:t>
            </w:r>
          </w:p>
        </w:tc>
        <w:tc>
          <w:tcPr>
            <w:tcW w:w="1424" w:type="dxa"/>
            <w:vAlign w:val="center"/>
          </w:tcPr>
          <w:p w14:paraId="3816C54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66FE38B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6E75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63062AF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9</w:t>
            </w:r>
          </w:p>
        </w:tc>
        <w:tc>
          <w:tcPr>
            <w:tcW w:w="1650" w:type="dxa"/>
            <w:vAlign w:val="center"/>
          </w:tcPr>
          <w:p w14:paraId="196BEE7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7EAA88B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锦华新城配套工棚</w:t>
            </w:r>
          </w:p>
        </w:tc>
        <w:tc>
          <w:tcPr>
            <w:tcW w:w="1926" w:type="dxa"/>
            <w:vAlign w:val="center"/>
          </w:tcPr>
          <w:p w14:paraId="6F4C9A0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0.0179</w:t>
            </w:r>
          </w:p>
        </w:tc>
        <w:tc>
          <w:tcPr>
            <w:tcW w:w="1424" w:type="dxa"/>
            <w:vAlign w:val="center"/>
          </w:tcPr>
          <w:p w14:paraId="5F464F3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68BE7AA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5314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1E889AD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10</w:t>
            </w:r>
          </w:p>
        </w:tc>
        <w:tc>
          <w:tcPr>
            <w:tcW w:w="1650" w:type="dxa"/>
            <w:vAlign w:val="center"/>
          </w:tcPr>
          <w:p w14:paraId="58C5EE9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79AA069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南奥新居</w:t>
            </w:r>
          </w:p>
        </w:tc>
        <w:tc>
          <w:tcPr>
            <w:tcW w:w="1926" w:type="dxa"/>
            <w:vAlign w:val="center"/>
          </w:tcPr>
          <w:p w14:paraId="0ACBEE2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0.07918</w:t>
            </w:r>
          </w:p>
        </w:tc>
        <w:tc>
          <w:tcPr>
            <w:tcW w:w="1424" w:type="dxa"/>
            <w:vAlign w:val="center"/>
          </w:tcPr>
          <w:p w14:paraId="3F2A996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4C7C2E9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34A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588BD6D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11</w:t>
            </w:r>
          </w:p>
        </w:tc>
        <w:tc>
          <w:tcPr>
            <w:tcW w:w="1650" w:type="dxa"/>
            <w:vAlign w:val="center"/>
          </w:tcPr>
          <w:p w14:paraId="21E2C73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07BD257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石林大公园</w:t>
            </w:r>
          </w:p>
        </w:tc>
        <w:tc>
          <w:tcPr>
            <w:tcW w:w="1926" w:type="dxa"/>
            <w:vAlign w:val="center"/>
          </w:tcPr>
          <w:p w14:paraId="7E53CEC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0.018111</w:t>
            </w:r>
          </w:p>
        </w:tc>
        <w:tc>
          <w:tcPr>
            <w:tcW w:w="1424" w:type="dxa"/>
            <w:vAlign w:val="center"/>
          </w:tcPr>
          <w:p w14:paraId="4E06C0F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7031769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22DF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10E1449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12</w:t>
            </w:r>
          </w:p>
        </w:tc>
        <w:tc>
          <w:tcPr>
            <w:tcW w:w="1650" w:type="dxa"/>
            <w:vAlign w:val="center"/>
          </w:tcPr>
          <w:p w14:paraId="202E3A3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2D124F8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凤汇壹品</w:t>
            </w:r>
          </w:p>
        </w:tc>
        <w:tc>
          <w:tcPr>
            <w:tcW w:w="1926" w:type="dxa"/>
            <w:vAlign w:val="center"/>
          </w:tcPr>
          <w:p w14:paraId="328261C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0.12697</w:t>
            </w:r>
          </w:p>
        </w:tc>
        <w:tc>
          <w:tcPr>
            <w:tcW w:w="1424" w:type="dxa"/>
            <w:vAlign w:val="center"/>
          </w:tcPr>
          <w:p w14:paraId="7D5B21D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4EEE312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6E09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0470338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13</w:t>
            </w:r>
          </w:p>
        </w:tc>
        <w:tc>
          <w:tcPr>
            <w:tcW w:w="1650" w:type="dxa"/>
            <w:vAlign w:val="center"/>
          </w:tcPr>
          <w:p w14:paraId="52F7E1A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5F746C1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锦华新城一期</w:t>
            </w:r>
          </w:p>
        </w:tc>
        <w:tc>
          <w:tcPr>
            <w:tcW w:w="1926" w:type="dxa"/>
            <w:vAlign w:val="center"/>
          </w:tcPr>
          <w:p w14:paraId="1064CB1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0.10275</w:t>
            </w:r>
          </w:p>
        </w:tc>
        <w:tc>
          <w:tcPr>
            <w:tcW w:w="1424" w:type="dxa"/>
            <w:vAlign w:val="center"/>
          </w:tcPr>
          <w:p w14:paraId="79D89B8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05CEEA9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7647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073DEE4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14</w:t>
            </w:r>
          </w:p>
        </w:tc>
        <w:tc>
          <w:tcPr>
            <w:tcW w:w="1650" w:type="dxa"/>
            <w:vAlign w:val="center"/>
          </w:tcPr>
          <w:p w14:paraId="155F00C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6DEBB69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锦华新城二期</w:t>
            </w:r>
          </w:p>
        </w:tc>
        <w:tc>
          <w:tcPr>
            <w:tcW w:w="1926" w:type="dxa"/>
            <w:vAlign w:val="center"/>
          </w:tcPr>
          <w:p w14:paraId="06C8CF0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0.10004</w:t>
            </w:r>
          </w:p>
        </w:tc>
        <w:tc>
          <w:tcPr>
            <w:tcW w:w="1424" w:type="dxa"/>
            <w:vAlign w:val="center"/>
          </w:tcPr>
          <w:p w14:paraId="0231153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60BAB89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4134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39386A1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15</w:t>
            </w:r>
          </w:p>
        </w:tc>
        <w:tc>
          <w:tcPr>
            <w:tcW w:w="1650" w:type="dxa"/>
            <w:vAlign w:val="center"/>
          </w:tcPr>
          <w:p w14:paraId="3AC279B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444A849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弘阳春上西江</w:t>
            </w:r>
          </w:p>
        </w:tc>
        <w:tc>
          <w:tcPr>
            <w:tcW w:w="1926" w:type="dxa"/>
            <w:vAlign w:val="center"/>
          </w:tcPr>
          <w:p w14:paraId="79CE64D5">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0.03472</w:t>
            </w:r>
          </w:p>
        </w:tc>
        <w:tc>
          <w:tcPr>
            <w:tcW w:w="1424" w:type="dxa"/>
            <w:vAlign w:val="center"/>
          </w:tcPr>
          <w:p w14:paraId="1449A70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7DFF2B7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1720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1CA57F1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16</w:t>
            </w:r>
          </w:p>
        </w:tc>
        <w:tc>
          <w:tcPr>
            <w:tcW w:w="1650" w:type="dxa"/>
            <w:vAlign w:val="center"/>
          </w:tcPr>
          <w:p w14:paraId="1166CB6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140A34EF">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梦幻家园</w:t>
            </w:r>
          </w:p>
        </w:tc>
        <w:tc>
          <w:tcPr>
            <w:tcW w:w="1926" w:type="dxa"/>
            <w:vAlign w:val="center"/>
          </w:tcPr>
          <w:p w14:paraId="669D6D8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0.065613</w:t>
            </w:r>
          </w:p>
        </w:tc>
        <w:tc>
          <w:tcPr>
            <w:tcW w:w="1424" w:type="dxa"/>
            <w:vAlign w:val="center"/>
          </w:tcPr>
          <w:p w14:paraId="6D33602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40805A9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59D2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4B115B4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17</w:t>
            </w:r>
          </w:p>
        </w:tc>
        <w:tc>
          <w:tcPr>
            <w:tcW w:w="1650" w:type="dxa"/>
            <w:vAlign w:val="center"/>
          </w:tcPr>
          <w:p w14:paraId="22E86CC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73E8546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正达公寓</w:t>
            </w:r>
          </w:p>
        </w:tc>
        <w:tc>
          <w:tcPr>
            <w:tcW w:w="1926" w:type="dxa"/>
            <w:vAlign w:val="center"/>
          </w:tcPr>
          <w:p w14:paraId="32FA5BB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0.02797</w:t>
            </w:r>
          </w:p>
        </w:tc>
        <w:tc>
          <w:tcPr>
            <w:tcW w:w="1424" w:type="dxa"/>
            <w:vAlign w:val="center"/>
          </w:tcPr>
          <w:p w14:paraId="0E94DD1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499E529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6B1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06362AB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18</w:t>
            </w:r>
          </w:p>
        </w:tc>
        <w:tc>
          <w:tcPr>
            <w:tcW w:w="1650" w:type="dxa"/>
            <w:vAlign w:val="center"/>
          </w:tcPr>
          <w:p w14:paraId="7E8538C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6710E38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惠安新居</w:t>
            </w:r>
          </w:p>
        </w:tc>
        <w:tc>
          <w:tcPr>
            <w:tcW w:w="1926" w:type="dxa"/>
            <w:vAlign w:val="center"/>
          </w:tcPr>
          <w:p w14:paraId="0DF67FD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0.013654</w:t>
            </w:r>
          </w:p>
        </w:tc>
        <w:tc>
          <w:tcPr>
            <w:tcW w:w="1424" w:type="dxa"/>
            <w:vAlign w:val="center"/>
          </w:tcPr>
          <w:p w14:paraId="6C73CA1C">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449389B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179E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47239B3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19</w:t>
            </w:r>
          </w:p>
        </w:tc>
        <w:tc>
          <w:tcPr>
            <w:tcW w:w="1650" w:type="dxa"/>
            <w:vAlign w:val="center"/>
          </w:tcPr>
          <w:p w14:paraId="63B61F7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3C06A9A8">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金叶花园</w:t>
            </w:r>
          </w:p>
        </w:tc>
        <w:tc>
          <w:tcPr>
            <w:tcW w:w="1926" w:type="dxa"/>
            <w:vAlign w:val="center"/>
          </w:tcPr>
          <w:p w14:paraId="66A7649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0.010265</w:t>
            </w:r>
          </w:p>
        </w:tc>
        <w:tc>
          <w:tcPr>
            <w:tcW w:w="1424" w:type="dxa"/>
            <w:vAlign w:val="center"/>
          </w:tcPr>
          <w:p w14:paraId="55060D50">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3ECB483B">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2585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409B2B4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20</w:t>
            </w:r>
          </w:p>
        </w:tc>
        <w:tc>
          <w:tcPr>
            <w:tcW w:w="1650" w:type="dxa"/>
            <w:vAlign w:val="center"/>
          </w:tcPr>
          <w:p w14:paraId="3D983DC6">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1BD87DF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石林云城</w:t>
            </w:r>
          </w:p>
        </w:tc>
        <w:tc>
          <w:tcPr>
            <w:tcW w:w="1926" w:type="dxa"/>
            <w:vAlign w:val="center"/>
          </w:tcPr>
          <w:p w14:paraId="5B653C87">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0.30895</w:t>
            </w:r>
          </w:p>
        </w:tc>
        <w:tc>
          <w:tcPr>
            <w:tcW w:w="1424" w:type="dxa"/>
            <w:vAlign w:val="center"/>
          </w:tcPr>
          <w:p w14:paraId="11606AED">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55CFF20A">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r w14:paraId="7AD1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Align w:val="center"/>
          </w:tcPr>
          <w:p w14:paraId="06ADB14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21</w:t>
            </w:r>
          </w:p>
        </w:tc>
        <w:tc>
          <w:tcPr>
            <w:tcW w:w="1650" w:type="dxa"/>
            <w:vAlign w:val="center"/>
          </w:tcPr>
          <w:p w14:paraId="0AC99153">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雨花台区</w:t>
            </w:r>
          </w:p>
        </w:tc>
        <w:tc>
          <w:tcPr>
            <w:tcW w:w="2324" w:type="dxa"/>
            <w:vAlign w:val="center"/>
          </w:tcPr>
          <w:p w14:paraId="5076EE72">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雨花开发区小区</w:t>
            </w:r>
          </w:p>
        </w:tc>
        <w:tc>
          <w:tcPr>
            <w:tcW w:w="1926" w:type="dxa"/>
            <w:vAlign w:val="center"/>
          </w:tcPr>
          <w:p w14:paraId="7DA67CB4">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0.03508</w:t>
            </w:r>
          </w:p>
        </w:tc>
        <w:tc>
          <w:tcPr>
            <w:tcW w:w="1424" w:type="dxa"/>
            <w:vAlign w:val="center"/>
          </w:tcPr>
          <w:p w14:paraId="0EABD839">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居住</w:t>
            </w:r>
          </w:p>
        </w:tc>
        <w:tc>
          <w:tcPr>
            <w:tcW w:w="1512" w:type="dxa"/>
            <w:vAlign w:val="center"/>
          </w:tcPr>
          <w:p w14:paraId="770AF7CE">
            <w:pPr>
              <w:spacing w:line="240" w:lineRule="auto"/>
              <w:ind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一类</w:t>
            </w:r>
          </w:p>
        </w:tc>
      </w:tr>
    </w:tbl>
    <w:p w14:paraId="117ABC19">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4-7</w:t>
      </w:r>
      <w:r>
        <w:rPr>
          <w:rFonts w:hint="default" w:ascii="Times New Roman" w:hAnsi="Times New Roman" w:eastAsia="黑体" w:cs="Times New Roman"/>
          <w:color w:val="auto"/>
          <w:sz w:val="21"/>
          <w:szCs w:val="21"/>
        </w:rPr>
        <w:t>非噪声敏感建筑物划分单元清单示例</w:t>
      </w:r>
    </w:p>
    <w:tbl>
      <w:tblPr>
        <w:tblStyle w:val="9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251"/>
        <w:gridCol w:w="1936"/>
        <w:gridCol w:w="1214"/>
        <w:gridCol w:w="1282"/>
        <w:gridCol w:w="1472"/>
        <w:gridCol w:w="778"/>
        <w:gridCol w:w="1185"/>
      </w:tblGrid>
      <w:tr w14:paraId="7B1E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dxa"/>
            <w:vMerge w:val="restart"/>
            <w:vAlign w:val="center"/>
          </w:tcPr>
          <w:p w14:paraId="2C8ED5DD">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序号</w:t>
            </w:r>
          </w:p>
        </w:tc>
        <w:tc>
          <w:tcPr>
            <w:tcW w:w="1251" w:type="dxa"/>
            <w:vMerge w:val="restart"/>
            <w:vAlign w:val="center"/>
          </w:tcPr>
          <w:p w14:paraId="292E4A48">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所属行政区</w:t>
            </w:r>
          </w:p>
        </w:tc>
        <w:tc>
          <w:tcPr>
            <w:tcW w:w="1936" w:type="dxa"/>
            <w:vMerge w:val="restart"/>
            <w:vAlign w:val="center"/>
          </w:tcPr>
          <w:p w14:paraId="7EAF3D66">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单元名称</w:t>
            </w:r>
          </w:p>
        </w:tc>
        <w:tc>
          <w:tcPr>
            <w:tcW w:w="1214" w:type="dxa"/>
            <w:vMerge w:val="restart"/>
            <w:vAlign w:val="center"/>
          </w:tcPr>
          <w:p w14:paraId="23D36226">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单元面积（km</w:t>
            </w:r>
            <w:r>
              <w:rPr>
                <w:rFonts w:hint="default" w:ascii="Times New Roman" w:hAnsi="Times New Roman" w:eastAsia="仿宋_GB2312" w:cs="Times New Roman"/>
                <w:b/>
                <w:color w:val="auto"/>
                <w:sz w:val="24"/>
                <w:vertAlign w:val="superscript"/>
              </w:rPr>
              <w:t>2</w:t>
            </w:r>
            <w:r>
              <w:rPr>
                <w:rFonts w:hint="default" w:ascii="Times New Roman" w:hAnsi="Times New Roman" w:eastAsia="仿宋_GB2312" w:cs="Times New Roman"/>
                <w:b/>
                <w:color w:val="auto"/>
                <w:sz w:val="24"/>
              </w:rPr>
              <w:t>）</w:t>
            </w:r>
          </w:p>
        </w:tc>
        <w:tc>
          <w:tcPr>
            <w:tcW w:w="1282" w:type="dxa"/>
            <w:vMerge w:val="restart"/>
            <w:vAlign w:val="center"/>
          </w:tcPr>
          <w:p w14:paraId="6C6D0E17">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建筑物类型</w:t>
            </w:r>
          </w:p>
        </w:tc>
        <w:tc>
          <w:tcPr>
            <w:tcW w:w="3435" w:type="dxa"/>
            <w:gridSpan w:val="3"/>
            <w:vAlign w:val="center"/>
          </w:tcPr>
          <w:p w14:paraId="39E0AB72">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距离最近的噪声敏感建筑物（建筑物群）</w:t>
            </w:r>
          </w:p>
        </w:tc>
      </w:tr>
      <w:tr w14:paraId="12F2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dxa"/>
            <w:vMerge w:val="continue"/>
            <w:vAlign w:val="center"/>
          </w:tcPr>
          <w:p w14:paraId="7217E69B">
            <w:pPr>
              <w:spacing w:line="240" w:lineRule="auto"/>
              <w:ind w:firstLine="0" w:firstLineChars="0"/>
              <w:jc w:val="center"/>
              <w:rPr>
                <w:rFonts w:hint="default" w:ascii="Times New Roman" w:hAnsi="Times New Roman" w:eastAsia="仿宋_GB2312" w:cs="Times New Roman"/>
                <w:b/>
                <w:color w:val="auto"/>
                <w:sz w:val="24"/>
              </w:rPr>
            </w:pPr>
          </w:p>
        </w:tc>
        <w:tc>
          <w:tcPr>
            <w:tcW w:w="1251" w:type="dxa"/>
            <w:vMerge w:val="continue"/>
            <w:vAlign w:val="center"/>
          </w:tcPr>
          <w:p w14:paraId="19F6C418">
            <w:pPr>
              <w:spacing w:line="240" w:lineRule="auto"/>
              <w:ind w:firstLine="0" w:firstLineChars="0"/>
              <w:jc w:val="center"/>
              <w:rPr>
                <w:rFonts w:hint="default" w:ascii="Times New Roman" w:hAnsi="Times New Roman" w:eastAsia="仿宋_GB2312" w:cs="Times New Roman"/>
                <w:b/>
                <w:color w:val="auto"/>
                <w:sz w:val="24"/>
              </w:rPr>
            </w:pPr>
          </w:p>
        </w:tc>
        <w:tc>
          <w:tcPr>
            <w:tcW w:w="1936" w:type="dxa"/>
            <w:vMerge w:val="continue"/>
            <w:vAlign w:val="center"/>
          </w:tcPr>
          <w:p w14:paraId="2ACD82E5">
            <w:pPr>
              <w:spacing w:line="240" w:lineRule="auto"/>
              <w:ind w:firstLine="0" w:firstLineChars="0"/>
              <w:jc w:val="center"/>
              <w:rPr>
                <w:rFonts w:hint="default" w:ascii="Times New Roman" w:hAnsi="Times New Roman" w:eastAsia="仿宋_GB2312" w:cs="Times New Roman"/>
                <w:b/>
                <w:color w:val="auto"/>
                <w:sz w:val="24"/>
              </w:rPr>
            </w:pPr>
          </w:p>
        </w:tc>
        <w:tc>
          <w:tcPr>
            <w:tcW w:w="1214" w:type="dxa"/>
            <w:vMerge w:val="continue"/>
            <w:vAlign w:val="center"/>
          </w:tcPr>
          <w:p w14:paraId="29234B2F">
            <w:pPr>
              <w:spacing w:line="240" w:lineRule="auto"/>
              <w:ind w:firstLine="0" w:firstLineChars="0"/>
              <w:jc w:val="center"/>
              <w:rPr>
                <w:rFonts w:hint="default" w:ascii="Times New Roman" w:hAnsi="Times New Roman" w:eastAsia="仿宋_GB2312" w:cs="Times New Roman"/>
                <w:b/>
                <w:color w:val="auto"/>
                <w:sz w:val="24"/>
              </w:rPr>
            </w:pPr>
          </w:p>
        </w:tc>
        <w:tc>
          <w:tcPr>
            <w:tcW w:w="1282" w:type="dxa"/>
            <w:vMerge w:val="continue"/>
            <w:vAlign w:val="center"/>
          </w:tcPr>
          <w:p w14:paraId="4A080232">
            <w:pPr>
              <w:spacing w:line="240" w:lineRule="auto"/>
              <w:ind w:firstLine="0" w:firstLineChars="0"/>
              <w:jc w:val="center"/>
              <w:rPr>
                <w:rFonts w:hint="default" w:ascii="Times New Roman" w:hAnsi="Times New Roman" w:eastAsia="仿宋_GB2312" w:cs="Times New Roman"/>
                <w:b/>
                <w:color w:val="auto"/>
                <w:sz w:val="24"/>
              </w:rPr>
            </w:pPr>
          </w:p>
        </w:tc>
        <w:tc>
          <w:tcPr>
            <w:tcW w:w="1472" w:type="dxa"/>
            <w:vAlign w:val="center"/>
          </w:tcPr>
          <w:p w14:paraId="304913E1">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名称</w:t>
            </w:r>
          </w:p>
        </w:tc>
        <w:tc>
          <w:tcPr>
            <w:tcW w:w="778" w:type="dxa"/>
            <w:vAlign w:val="center"/>
          </w:tcPr>
          <w:p w14:paraId="7E8C5ECC">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类型</w:t>
            </w:r>
          </w:p>
        </w:tc>
        <w:tc>
          <w:tcPr>
            <w:tcW w:w="1185" w:type="dxa"/>
            <w:vAlign w:val="center"/>
          </w:tcPr>
          <w:p w14:paraId="6A1DC3EC">
            <w:pPr>
              <w:spacing w:line="240" w:lineRule="auto"/>
              <w:ind w:firstLine="0" w:firstLineChars="0"/>
              <w:jc w:val="center"/>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距离（</w:t>
            </w:r>
            <w:r>
              <w:rPr>
                <w:rFonts w:hint="eastAsia" w:eastAsia="仿宋_GB2312" w:cs="Times New Roman"/>
                <w:b/>
                <w:color w:val="auto"/>
                <w:sz w:val="24"/>
                <w:lang w:val="en-US" w:eastAsia="zh-CN"/>
              </w:rPr>
              <w:t>m</w:t>
            </w:r>
            <w:r>
              <w:rPr>
                <w:rFonts w:hint="default" w:ascii="Times New Roman" w:hAnsi="Times New Roman" w:eastAsia="仿宋_GB2312" w:cs="Times New Roman"/>
                <w:b/>
                <w:color w:val="auto"/>
                <w:sz w:val="24"/>
              </w:rPr>
              <w:t>）</w:t>
            </w:r>
          </w:p>
        </w:tc>
      </w:tr>
      <w:tr w14:paraId="3237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498EB6E0">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w:t>
            </w:r>
          </w:p>
        </w:tc>
        <w:tc>
          <w:tcPr>
            <w:tcW w:w="1251" w:type="dxa"/>
          </w:tcPr>
          <w:p w14:paraId="27D97427">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030A79EF">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同仁堂制药厂</w:t>
            </w:r>
          </w:p>
        </w:tc>
        <w:tc>
          <w:tcPr>
            <w:tcW w:w="1214" w:type="dxa"/>
            <w:vAlign w:val="center"/>
          </w:tcPr>
          <w:p w14:paraId="43F46F09">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0.05997</w:t>
            </w:r>
          </w:p>
        </w:tc>
        <w:tc>
          <w:tcPr>
            <w:tcW w:w="1282" w:type="dxa"/>
            <w:vAlign w:val="center"/>
          </w:tcPr>
          <w:p w14:paraId="751AE90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1354825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亚东观云国际</w:t>
            </w:r>
          </w:p>
        </w:tc>
        <w:tc>
          <w:tcPr>
            <w:tcW w:w="778" w:type="dxa"/>
            <w:vAlign w:val="center"/>
          </w:tcPr>
          <w:p w14:paraId="2C1A0F5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7ECA4E9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34</w:t>
            </w:r>
          </w:p>
        </w:tc>
      </w:tr>
      <w:tr w14:paraId="5A6B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04E52D70">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w:t>
            </w:r>
          </w:p>
        </w:tc>
        <w:tc>
          <w:tcPr>
            <w:tcW w:w="1251" w:type="dxa"/>
          </w:tcPr>
          <w:p w14:paraId="16E0653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670CC1C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药材厂仓库</w:t>
            </w:r>
          </w:p>
        </w:tc>
        <w:tc>
          <w:tcPr>
            <w:tcW w:w="1214" w:type="dxa"/>
            <w:vAlign w:val="center"/>
          </w:tcPr>
          <w:p w14:paraId="6F71FF6C">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0.02013</w:t>
            </w:r>
          </w:p>
        </w:tc>
        <w:tc>
          <w:tcPr>
            <w:tcW w:w="1282" w:type="dxa"/>
            <w:vAlign w:val="center"/>
          </w:tcPr>
          <w:p w14:paraId="0976EE3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0360CB2C">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同仁堂制药厂宿舍</w:t>
            </w:r>
          </w:p>
        </w:tc>
        <w:tc>
          <w:tcPr>
            <w:tcW w:w="778" w:type="dxa"/>
            <w:vAlign w:val="center"/>
          </w:tcPr>
          <w:p w14:paraId="335F110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611E172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94</w:t>
            </w:r>
          </w:p>
        </w:tc>
      </w:tr>
      <w:tr w14:paraId="16DC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60B231BF">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w:t>
            </w:r>
          </w:p>
        </w:tc>
        <w:tc>
          <w:tcPr>
            <w:tcW w:w="1251" w:type="dxa"/>
          </w:tcPr>
          <w:p w14:paraId="6E30ABD9">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2F2B5B8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省工业安装公司</w:t>
            </w:r>
          </w:p>
        </w:tc>
        <w:tc>
          <w:tcPr>
            <w:tcW w:w="1214" w:type="dxa"/>
            <w:vAlign w:val="center"/>
          </w:tcPr>
          <w:p w14:paraId="2D624C04">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0.03113</w:t>
            </w:r>
          </w:p>
        </w:tc>
        <w:tc>
          <w:tcPr>
            <w:tcW w:w="1282" w:type="dxa"/>
            <w:vAlign w:val="center"/>
          </w:tcPr>
          <w:p w14:paraId="5F14BCF4">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2F0AFB5D">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绿岛华庭</w:t>
            </w:r>
          </w:p>
        </w:tc>
        <w:tc>
          <w:tcPr>
            <w:tcW w:w="778" w:type="dxa"/>
            <w:vAlign w:val="center"/>
          </w:tcPr>
          <w:p w14:paraId="5359E45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3A98E6D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65</w:t>
            </w:r>
          </w:p>
        </w:tc>
      </w:tr>
      <w:tr w14:paraId="1DDE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2F432FC7">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w:t>
            </w:r>
          </w:p>
        </w:tc>
        <w:tc>
          <w:tcPr>
            <w:tcW w:w="1251" w:type="dxa"/>
          </w:tcPr>
          <w:p w14:paraId="4312C74B">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3F8CAC53">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保昌科技园</w:t>
            </w:r>
          </w:p>
        </w:tc>
        <w:tc>
          <w:tcPr>
            <w:tcW w:w="1214" w:type="dxa"/>
            <w:vAlign w:val="center"/>
          </w:tcPr>
          <w:p w14:paraId="12BBCD7D">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0.01015</w:t>
            </w:r>
          </w:p>
        </w:tc>
        <w:tc>
          <w:tcPr>
            <w:tcW w:w="1282" w:type="dxa"/>
            <w:vAlign w:val="center"/>
          </w:tcPr>
          <w:p w14:paraId="0F3817F3">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49C6E603">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柏悦澜庭</w:t>
            </w:r>
          </w:p>
        </w:tc>
        <w:tc>
          <w:tcPr>
            <w:tcW w:w="778" w:type="dxa"/>
            <w:vAlign w:val="center"/>
          </w:tcPr>
          <w:p w14:paraId="6E72E45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48AFDDD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42</w:t>
            </w:r>
          </w:p>
        </w:tc>
      </w:tr>
      <w:tr w14:paraId="13BA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732EEBCB">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w:t>
            </w:r>
          </w:p>
        </w:tc>
        <w:tc>
          <w:tcPr>
            <w:tcW w:w="1251" w:type="dxa"/>
          </w:tcPr>
          <w:p w14:paraId="0625D4B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6A18CD7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供电公司</w:t>
            </w:r>
          </w:p>
        </w:tc>
        <w:tc>
          <w:tcPr>
            <w:tcW w:w="1214" w:type="dxa"/>
            <w:vAlign w:val="center"/>
          </w:tcPr>
          <w:p w14:paraId="549059A0">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0.03014</w:t>
            </w:r>
          </w:p>
        </w:tc>
        <w:tc>
          <w:tcPr>
            <w:tcW w:w="1282" w:type="dxa"/>
            <w:vAlign w:val="center"/>
          </w:tcPr>
          <w:p w14:paraId="4BCFF039">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市政公用</w:t>
            </w:r>
          </w:p>
        </w:tc>
        <w:tc>
          <w:tcPr>
            <w:tcW w:w="1472" w:type="dxa"/>
            <w:vAlign w:val="center"/>
          </w:tcPr>
          <w:p w14:paraId="40CB3CD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邓府山村</w:t>
            </w:r>
          </w:p>
        </w:tc>
        <w:tc>
          <w:tcPr>
            <w:tcW w:w="778" w:type="dxa"/>
            <w:vAlign w:val="center"/>
          </w:tcPr>
          <w:p w14:paraId="4FE91B2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3CC2AED5">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56</w:t>
            </w:r>
          </w:p>
        </w:tc>
      </w:tr>
      <w:tr w14:paraId="3FA8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628B122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6</w:t>
            </w:r>
          </w:p>
        </w:tc>
        <w:tc>
          <w:tcPr>
            <w:tcW w:w="1251" w:type="dxa"/>
          </w:tcPr>
          <w:p w14:paraId="3B118AB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0C4387E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中牧南京实业有限公司</w:t>
            </w:r>
          </w:p>
        </w:tc>
        <w:tc>
          <w:tcPr>
            <w:tcW w:w="1214" w:type="dxa"/>
            <w:vAlign w:val="center"/>
          </w:tcPr>
          <w:p w14:paraId="15C0A14D">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0.14226</w:t>
            </w:r>
          </w:p>
        </w:tc>
        <w:tc>
          <w:tcPr>
            <w:tcW w:w="1282" w:type="dxa"/>
            <w:vAlign w:val="center"/>
          </w:tcPr>
          <w:p w14:paraId="3B54B7F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19F8C34B">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时光澔韵</w:t>
            </w:r>
          </w:p>
        </w:tc>
        <w:tc>
          <w:tcPr>
            <w:tcW w:w="778" w:type="dxa"/>
            <w:vAlign w:val="center"/>
          </w:tcPr>
          <w:p w14:paraId="7768D030">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0B07A745">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41</w:t>
            </w:r>
          </w:p>
        </w:tc>
      </w:tr>
      <w:tr w14:paraId="62A5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456EF0FF">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7</w:t>
            </w:r>
          </w:p>
        </w:tc>
        <w:tc>
          <w:tcPr>
            <w:tcW w:w="1251" w:type="dxa"/>
          </w:tcPr>
          <w:p w14:paraId="1D49CE1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4C20465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省工业安装公司</w:t>
            </w:r>
          </w:p>
        </w:tc>
        <w:tc>
          <w:tcPr>
            <w:tcW w:w="1214" w:type="dxa"/>
            <w:vAlign w:val="center"/>
          </w:tcPr>
          <w:p w14:paraId="0D368FE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0.04107</w:t>
            </w:r>
          </w:p>
        </w:tc>
        <w:tc>
          <w:tcPr>
            <w:tcW w:w="1282" w:type="dxa"/>
            <w:vAlign w:val="center"/>
          </w:tcPr>
          <w:p w14:paraId="04801FD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013B8224">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钱记饭店</w:t>
            </w:r>
          </w:p>
        </w:tc>
        <w:tc>
          <w:tcPr>
            <w:tcW w:w="778" w:type="dxa"/>
            <w:vAlign w:val="center"/>
          </w:tcPr>
          <w:p w14:paraId="62FC3DCC">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二类</w:t>
            </w:r>
          </w:p>
        </w:tc>
        <w:tc>
          <w:tcPr>
            <w:tcW w:w="1185" w:type="dxa"/>
            <w:vAlign w:val="center"/>
          </w:tcPr>
          <w:p w14:paraId="01DBA71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w:t>
            </w:r>
          </w:p>
        </w:tc>
      </w:tr>
      <w:tr w14:paraId="4B20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08C8CC6D">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w:t>
            </w:r>
          </w:p>
        </w:tc>
        <w:tc>
          <w:tcPr>
            <w:tcW w:w="1251" w:type="dxa"/>
          </w:tcPr>
          <w:p w14:paraId="0A75DCA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1A572DB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雨建发（国资企业）</w:t>
            </w:r>
          </w:p>
        </w:tc>
        <w:tc>
          <w:tcPr>
            <w:tcW w:w="1214" w:type="dxa"/>
            <w:vAlign w:val="center"/>
          </w:tcPr>
          <w:p w14:paraId="1D80ACB4">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0.01146</w:t>
            </w:r>
          </w:p>
        </w:tc>
        <w:tc>
          <w:tcPr>
            <w:tcW w:w="1282" w:type="dxa"/>
            <w:vAlign w:val="center"/>
          </w:tcPr>
          <w:p w14:paraId="0DCDEF4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6C6E4137">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华为研究院</w:t>
            </w:r>
          </w:p>
        </w:tc>
        <w:tc>
          <w:tcPr>
            <w:tcW w:w="778" w:type="dxa"/>
            <w:vAlign w:val="center"/>
          </w:tcPr>
          <w:p w14:paraId="5CC8D44A">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二类</w:t>
            </w:r>
          </w:p>
        </w:tc>
        <w:tc>
          <w:tcPr>
            <w:tcW w:w="1185" w:type="dxa"/>
            <w:vAlign w:val="center"/>
          </w:tcPr>
          <w:p w14:paraId="1F84F7B9">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20</w:t>
            </w:r>
          </w:p>
        </w:tc>
      </w:tr>
      <w:tr w14:paraId="38F9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2BECD2C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9</w:t>
            </w:r>
          </w:p>
        </w:tc>
        <w:tc>
          <w:tcPr>
            <w:tcW w:w="1251" w:type="dxa"/>
          </w:tcPr>
          <w:p w14:paraId="69C6EB4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375E1353">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中通服智慧产业研发基地</w:t>
            </w:r>
          </w:p>
        </w:tc>
        <w:tc>
          <w:tcPr>
            <w:tcW w:w="1214" w:type="dxa"/>
            <w:vAlign w:val="center"/>
          </w:tcPr>
          <w:p w14:paraId="2F182F7F">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0.01315</w:t>
            </w:r>
          </w:p>
        </w:tc>
        <w:tc>
          <w:tcPr>
            <w:tcW w:w="1282" w:type="dxa"/>
            <w:vAlign w:val="center"/>
          </w:tcPr>
          <w:p w14:paraId="17832E90">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4DE2D48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万科朗拾</w:t>
            </w:r>
          </w:p>
        </w:tc>
        <w:tc>
          <w:tcPr>
            <w:tcW w:w="778" w:type="dxa"/>
            <w:vAlign w:val="center"/>
          </w:tcPr>
          <w:p w14:paraId="1200447E">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2F505C82">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36</w:t>
            </w:r>
          </w:p>
        </w:tc>
      </w:tr>
      <w:tr w14:paraId="081F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vAlign w:val="center"/>
          </w:tcPr>
          <w:p w14:paraId="5D629E0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10</w:t>
            </w:r>
          </w:p>
        </w:tc>
        <w:tc>
          <w:tcPr>
            <w:tcW w:w="1251" w:type="dxa"/>
          </w:tcPr>
          <w:p w14:paraId="11B6FDC1">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雨花台区</w:t>
            </w:r>
          </w:p>
        </w:tc>
        <w:tc>
          <w:tcPr>
            <w:tcW w:w="1936" w:type="dxa"/>
            <w:vAlign w:val="center"/>
          </w:tcPr>
          <w:p w14:paraId="2B552DF6">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丰盛集团（企业用地）</w:t>
            </w:r>
          </w:p>
        </w:tc>
        <w:tc>
          <w:tcPr>
            <w:tcW w:w="1214" w:type="dxa"/>
            <w:vAlign w:val="center"/>
          </w:tcPr>
          <w:p w14:paraId="7DD111C7">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0.02059</w:t>
            </w:r>
          </w:p>
        </w:tc>
        <w:tc>
          <w:tcPr>
            <w:tcW w:w="1282" w:type="dxa"/>
            <w:vAlign w:val="center"/>
          </w:tcPr>
          <w:p w14:paraId="32652EC8">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工业企业</w:t>
            </w:r>
          </w:p>
        </w:tc>
        <w:tc>
          <w:tcPr>
            <w:tcW w:w="1472" w:type="dxa"/>
            <w:vAlign w:val="center"/>
          </w:tcPr>
          <w:p w14:paraId="58A3F035">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中南锦苑</w:t>
            </w:r>
          </w:p>
        </w:tc>
        <w:tc>
          <w:tcPr>
            <w:tcW w:w="778" w:type="dxa"/>
            <w:vAlign w:val="center"/>
          </w:tcPr>
          <w:p w14:paraId="24431745">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一类</w:t>
            </w:r>
          </w:p>
        </w:tc>
        <w:tc>
          <w:tcPr>
            <w:tcW w:w="1185" w:type="dxa"/>
            <w:vAlign w:val="center"/>
          </w:tcPr>
          <w:p w14:paraId="3CE068C4">
            <w:pPr>
              <w:spacing w:line="240" w:lineRule="auto"/>
              <w:ind w:firstLine="0" w:firstLineChars="0"/>
              <w:jc w:val="center"/>
              <w:rPr>
                <w:rFonts w:hint="default" w:ascii="Times New Roman" w:hAnsi="Times New Roman" w:eastAsia="仿宋_GB2312" w:cs="Times New Roman"/>
                <w:color w:val="auto"/>
                <w:sz w:val="24"/>
              </w:rPr>
            </w:pPr>
            <w:r>
              <w:rPr>
                <w:rFonts w:hint="default" w:ascii="Times New Roman" w:hAnsi="Times New Roman" w:eastAsia="仿宋_GB2312" w:cs="Times New Roman"/>
                <w:color w:val="auto"/>
                <w:sz w:val="24"/>
              </w:rPr>
              <w:t>85</w:t>
            </w:r>
          </w:p>
        </w:tc>
      </w:tr>
    </w:tbl>
    <w:p w14:paraId="19464809">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592445" cy="340042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92445" cy="3400425"/>
                    </a:xfrm>
                    <a:prstGeom prst="rect">
                      <a:avLst/>
                    </a:prstGeom>
                  </pic:spPr>
                </pic:pic>
              </a:graphicData>
            </a:graphic>
          </wp:inline>
        </w:drawing>
      </w:r>
    </w:p>
    <w:p w14:paraId="46AE8F52">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w:t>
      </w:r>
      <w:r>
        <w:rPr>
          <w:rFonts w:hint="eastAsia" w:eastAsia="黑体" w:cs="Times New Roman"/>
          <w:color w:val="auto"/>
          <w:sz w:val="21"/>
          <w:szCs w:val="21"/>
          <w:lang w:val="en-US" w:eastAsia="zh-CN"/>
        </w:rPr>
        <w:t>4-1</w:t>
      </w:r>
      <w:r>
        <w:rPr>
          <w:rFonts w:hint="default" w:ascii="Times New Roman" w:hAnsi="Times New Roman" w:eastAsia="黑体" w:cs="Times New Roman"/>
          <w:color w:val="auto"/>
          <w:sz w:val="21"/>
          <w:szCs w:val="21"/>
        </w:rPr>
        <w:t>建筑物划分单元分布示例图</w:t>
      </w:r>
    </w:p>
    <w:p w14:paraId="7EBB4BB6">
      <w:pPr>
        <w:ind w:firstLine="645" w:firstLineChars="0"/>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确定噪声敏感建筑物集中区域</w:t>
      </w:r>
    </w:p>
    <w:p w14:paraId="2E5A2E3F">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alphabetic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a</w:t>
      </w:r>
      <w:r>
        <w:rPr>
          <w:rFonts w:hint="default" w:ascii="Times New Roman" w:hAnsi="Times New Roman" w:cs="Times New Roman"/>
          <w:b/>
          <w:bCs/>
          <w:color w:val="auto"/>
        </w:rPr>
        <w:fldChar w:fldCharType="end"/>
      </w:r>
      <w:r>
        <w:rPr>
          <w:rFonts w:hint="default" w:ascii="Times New Roman" w:hAnsi="Times New Roman" w:cs="Times New Roman"/>
          <w:b/>
          <w:bCs/>
          <w:color w:val="auto"/>
        </w:rPr>
        <w:t>确定原则</w:t>
      </w:r>
    </w:p>
    <w:p w14:paraId="419DB8A9">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根据噪声敏感建筑物集中区域的定义，应当在噪声敏感建筑物划分单元的基础上，从划分单元边界外推一定距离，形成封闭区域。</w:t>
      </w:r>
    </w:p>
    <w:p w14:paraId="4639ABA8">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对于敏感建筑物集中区域的具体划分方法，目前的法律法规没有明确定义，主要思路如下：</w:t>
      </w:r>
    </w:p>
    <w:p w14:paraId="38843D86">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对于一类噪声敏感建筑物（建筑物群），由于居住、医疗的建筑物内夜间需要睡眠保持安静，对于二类噪声敏感建筑物（建筑物群），以办公为主，昼间需要保证工作正常开展。</w:t>
      </w:r>
    </w:p>
    <w:p w14:paraId="06CB9EA3">
      <w:pPr>
        <w:pageBreakBefore w:val="0"/>
        <w:kinsoku/>
        <w:wordWrap/>
        <w:overflowPunct/>
        <w:topLinePunct w:val="0"/>
        <w:bidi w:val="0"/>
        <w:adjustRightInd/>
        <w:snapToGrid/>
        <w:spacing w:line="560" w:lineRule="exact"/>
        <w:ind w:firstLine="645" w:firstLineChars="0"/>
        <w:textAlignment w:val="auto"/>
        <w:rPr>
          <w:rFonts w:hint="eastAsia"/>
          <w:lang w:val="en-US" w:eastAsia="zh-CN"/>
        </w:rPr>
      </w:pPr>
      <w:r>
        <w:rPr>
          <w:rFonts w:hint="eastAsia" w:cs="Times New Roman"/>
          <w:color w:val="auto"/>
          <w:lang w:eastAsia="zh-CN"/>
        </w:rPr>
        <w:t>编制组</w:t>
      </w:r>
      <w:r>
        <w:rPr>
          <w:rFonts w:hint="default" w:ascii="Times New Roman" w:hAnsi="Times New Roman" w:cs="Times New Roman"/>
          <w:color w:val="auto"/>
        </w:rPr>
        <w:t>结合各类声源衰减特性，利用专业软件Cadna-A预测</w:t>
      </w:r>
      <w:r>
        <w:rPr>
          <w:rFonts w:hint="eastAsia" w:cs="Times New Roman"/>
          <w:color w:val="auto"/>
          <w:lang w:eastAsia="zh-CN"/>
        </w:rPr>
        <w:t>了</w:t>
      </w:r>
      <w:r>
        <w:rPr>
          <w:rFonts w:hint="default" w:ascii="Times New Roman" w:hAnsi="Times New Roman" w:cs="Times New Roman"/>
          <w:color w:val="auto"/>
        </w:rPr>
        <w:t>各类典型声源（交通、工业、建筑施工）</w:t>
      </w:r>
      <w:r>
        <w:rPr>
          <w:rFonts w:hint="eastAsia" w:cs="Times New Roman"/>
          <w:color w:val="auto"/>
          <w:lang w:eastAsia="zh-CN"/>
        </w:rPr>
        <w:t>的</w:t>
      </w:r>
      <w:r>
        <w:rPr>
          <w:rFonts w:hint="default" w:ascii="Times New Roman" w:hAnsi="Times New Roman" w:cs="Times New Roman"/>
          <w:color w:val="auto"/>
        </w:rPr>
        <w:t>衰减特征，同时结合实际监测及噪声管理标准要求，考察满足一类噪声敏感建筑物（建筑物群）夜间达标（50dB），二类噪声敏感建筑物（建筑物群）昼间达标（60dB），</w:t>
      </w:r>
      <w:r>
        <w:rPr>
          <w:rFonts w:hint="eastAsia" w:cs="Times New Roman"/>
          <w:color w:val="auto"/>
          <w:lang w:eastAsia="zh-CN"/>
        </w:rPr>
        <w:t>论证了一类和二类噪声敏感建筑物的</w:t>
      </w:r>
      <w:r>
        <w:rPr>
          <w:rFonts w:hint="default" w:ascii="Times New Roman" w:hAnsi="Times New Roman" w:cs="Times New Roman"/>
          <w:color w:val="auto"/>
        </w:rPr>
        <w:t>衰减达标距离。</w:t>
      </w:r>
    </w:p>
    <w:p w14:paraId="6A6E166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ROMAN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I</w:t>
      </w:r>
      <w:r>
        <w:rPr>
          <w:rFonts w:hint="default" w:ascii="Times New Roman" w:hAnsi="Times New Roman" w:cs="Times New Roman"/>
          <w:b/>
          <w:bCs/>
          <w:color w:val="auto"/>
        </w:rPr>
        <w:fldChar w:fldCharType="end"/>
      </w:r>
      <w:r>
        <w:rPr>
          <w:rFonts w:hint="default" w:ascii="Times New Roman" w:hAnsi="Times New Roman" w:cs="Times New Roman"/>
          <w:b/>
          <w:bCs/>
          <w:color w:val="auto"/>
        </w:rPr>
        <w:t>交通噪声衰减特性分析</w:t>
      </w:r>
    </w:p>
    <w:p w14:paraId="38EE903B">
      <w:pPr>
        <w:pageBreakBefore w:val="0"/>
        <w:kinsoku/>
        <w:wordWrap/>
        <w:overflowPunct/>
        <w:topLinePunct w:val="0"/>
        <w:bidi w:val="0"/>
        <w:adjustRightInd/>
        <w:snapToGrid/>
        <w:spacing w:line="560" w:lineRule="exact"/>
        <w:ind w:firstLine="645" w:firstLineChars="0"/>
        <w:textAlignment w:val="auto"/>
        <w:rPr>
          <w:rFonts w:hint="eastAsia" w:cs="Times New Roman"/>
          <w:color w:val="auto"/>
          <w:lang w:eastAsia="zh-CN"/>
        </w:rPr>
      </w:pPr>
      <w:r>
        <w:rPr>
          <w:rFonts w:hint="default" w:ascii="Times New Roman" w:hAnsi="Times New Roman" w:cs="Times New Roman"/>
          <w:color w:val="auto"/>
        </w:rPr>
        <w:t>选取了南京市秦淮区辖区内4个典型片区作为代表，以预测城市道路两侧交通噪声的衰减特征</w:t>
      </w:r>
      <w:r>
        <w:rPr>
          <w:rFonts w:hint="eastAsia" w:cs="Times New Roman"/>
          <w:color w:val="auto"/>
          <w:lang w:eastAsia="zh-CN"/>
        </w:rPr>
        <w:t>。</w:t>
      </w:r>
    </w:p>
    <w:p w14:paraId="1C5E6049">
      <w:pPr>
        <w:pageBreakBefore w:val="0"/>
        <w:kinsoku/>
        <w:wordWrap/>
        <w:overflowPunct/>
        <w:topLinePunct w:val="0"/>
        <w:bidi w:val="0"/>
        <w:adjustRightInd/>
        <w:snapToGrid/>
        <w:spacing w:line="560" w:lineRule="exact"/>
        <w:ind w:firstLine="645" w:firstLineChars="0"/>
        <w:textAlignment w:val="auto"/>
        <w:rPr>
          <w:rFonts w:hint="eastAsia" w:ascii="Times New Roman" w:hAnsi="Times New Roman" w:eastAsia="方正仿宋_GBK" w:cs="Times New Roman"/>
          <w:color w:val="auto"/>
          <w:lang w:val="en-US" w:eastAsia="zh-CN"/>
        </w:rPr>
      </w:pPr>
      <w:r>
        <w:rPr>
          <w:rFonts w:hint="eastAsia" w:cs="Times New Roman"/>
          <w:color w:val="auto"/>
          <w:lang w:val="en-US" w:eastAsia="zh-CN"/>
        </w:rPr>
        <w:t>4个典型片区</w:t>
      </w:r>
      <w:r>
        <w:rPr>
          <w:rFonts w:hint="default" w:ascii="Times New Roman" w:hAnsi="Times New Roman" w:cs="Times New Roman"/>
          <w:color w:val="auto"/>
        </w:rPr>
        <w:t>分别为内环西线-汉中路-莫愁路-水西门大街片区</w:t>
      </w:r>
      <w:r>
        <w:rPr>
          <w:rFonts w:hint="eastAsia" w:cs="Times New Roman"/>
          <w:color w:val="auto"/>
          <w:lang w:eastAsia="zh-CN"/>
        </w:rPr>
        <w:t>（</w:t>
      </w:r>
      <w:r>
        <w:rPr>
          <w:rFonts w:hint="eastAsia" w:cs="Times New Roman"/>
          <w:color w:val="auto"/>
          <w:lang w:val="en-US" w:eastAsia="zh-CN"/>
        </w:rPr>
        <w:t>a</w:t>
      </w:r>
      <w:r>
        <w:rPr>
          <w:rFonts w:hint="eastAsia" w:cs="Times New Roman"/>
          <w:color w:val="auto"/>
          <w:lang w:eastAsia="zh-CN"/>
        </w:rPr>
        <w:t>）</w:t>
      </w:r>
      <w:r>
        <w:rPr>
          <w:rFonts w:hint="default" w:ascii="Times New Roman" w:hAnsi="Times New Roman" w:cs="Times New Roman"/>
          <w:color w:val="auto"/>
        </w:rPr>
        <w:t>、内环东线-中山东路-御道街-瑞金路片区</w:t>
      </w:r>
      <w:r>
        <w:rPr>
          <w:rFonts w:hint="eastAsia" w:cs="Times New Roman"/>
          <w:color w:val="auto"/>
          <w:lang w:val="en-US" w:eastAsia="zh-CN"/>
        </w:rPr>
        <w:t>(b)</w:t>
      </w:r>
      <w:r>
        <w:rPr>
          <w:rFonts w:hint="default" w:ascii="Times New Roman" w:hAnsi="Times New Roman" w:cs="Times New Roman"/>
          <w:color w:val="auto"/>
        </w:rPr>
        <w:t>、中山南路-中山东路-太平南路-白下路片区</w:t>
      </w:r>
      <w:r>
        <w:rPr>
          <w:rFonts w:hint="eastAsia" w:cs="Times New Roman"/>
          <w:color w:val="auto"/>
          <w:lang w:val="en-US" w:eastAsia="zh-CN"/>
        </w:rPr>
        <w:t>(c)</w:t>
      </w:r>
      <w:r>
        <w:rPr>
          <w:rFonts w:hint="default" w:ascii="Times New Roman" w:hAnsi="Times New Roman" w:cs="Times New Roman"/>
          <w:color w:val="auto"/>
        </w:rPr>
        <w:t>、解放路-瑞金路-御道街-大光路片区</w:t>
      </w:r>
      <w:r>
        <w:rPr>
          <w:rFonts w:hint="eastAsia" w:cs="Times New Roman"/>
          <w:color w:val="auto"/>
          <w:lang w:val="en-US" w:eastAsia="zh-CN"/>
        </w:rPr>
        <w:t>(d)</w:t>
      </w:r>
      <w:r>
        <w:rPr>
          <w:rFonts w:hint="default" w:ascii="Times New Roman" w:hAnsi="Times New Roman" w:cs="Times New Roman"/>
          <w:color w:val="auto"/>
        </w:rPr>
        <w:t>，其中前2个片区以城市快速路、城市主干道为主，后2个片区则以城市主干道、城市次干道为主</w:t>
      </w:r>
      <w:r>
        <w:rPr>
          <w:rFonts w:hint="eastAsia" w:cs="Times New Roman"/>
          <w:color w:val="auto"/>
          <w:lang w:eastAsia="zh-CN"/>
        </w:rPr>
        <w:t>。见图</w:t>
      </w:r>
      <w:r>
        <w:rPr>
          <w:rFonts w:hint="eastAsia" w:cs="Times New Roman"/>
          <w:color w:val="auto"/>
          <w:lang w:val="en-US" w:eastAsia="zh-CN"/>
        </w:rPr>
        <w:t>4-2。</w:t>
      </w:r>
    </w:p>
    <w:p w14:paraId="63695093">
      <w:pPr>
        <w:pStyle w:val="90"/>
        <w:ind w:firstLine="40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618865" cy="2539365"/>
            <wp:effectExtent l="0" t="0" r="635" b="1333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9"/>
                    <a:stretch>
                      <a:fillRect/>
                    </a:stretch>
                  </pic:blipFill>
                  <pic:spPr>
                    <a:xfrm>
                      <a:off x="0" y="0"/>
                      <a:ext cx="3618865" cy="2539365"/>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061210" cy="2543810"/>
            <wp:effectExtent l="0" t="0" r="1524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rcRect l="2056"/>
                    <a:stretch>
                      <a:fillRect/>
                    </a:stretch>
                  </pic:blipFill>
                  <pic:spPr>
                    <a:xfrm>
                      <a:off x="0" y="0"/>
                      <a:ext cx="2061210" cy="2543810"/>
                    </a:xfrm>
                    <a:prstGeom prst="rect">
                      <a:avLst/>
                    </a:prstGeom>
                    <a:noFill/>
                    <a:ln>
                      <a:noFill/>
                    </a:ln>
                  </pic:spPr>
                </pic:pic>
              </a:graphicData>
            </a:graphic>
          </wp:inline>
        </w:drawing>
      </w:r>
    </w:p>
    <w:p w14:paraId="5E3C1735">
      <w:pPr>
        <w:pStyle w:val="90"/>
        <w:ind w:firstLine="400"/>
        <w:rPr>
          <w:rFonts w:hint="default" w:ascii="Times New Roman" w:hAnsi="Times New Roman" w:eastAsia="黑体" w:cs="Times New Roman"/>
          <w:color w:val="auto"/>
          <w:sz w:val="24"/>
          <w:szCs w:val="24"/>
          <w:lang w:val="en-US" w:eastAsia="zh-CN"/>
        </w:rPr>
      </w:pPr>
      <w:r>
        <w:rPr>
          <w:rFonts w:hint="eastAsia" w:ascii="Times New Roman" w:hAnsi="Times New Roman" w:eastAsia="黑体" w:cs="Times New Roman"/>
          <w:color w:val="auto"/>
          <w:sz w:val="24"/>
          <w:szCs w:val="24"/>
          <w:lang w:val="en-US" w:eastAsia="zh-CN"/>
        </w:rPr>
        <w:t xml:space="preserve">    </w:t>
      </w:r>
      <w:r>
        <w:rPr>
          <w:rFonts w:hint="eastAsia" w:eastAsia="黑体" w:cs="Times New Roman"/>
          <w:color w:val="auto"/>
          <w:sz w:val="24"/>
          <w:szCs w:val="24"/>
          <w:lang w:val="en-US" w:eastAsia="zh-CN"/>
        </w:rPr>
        <w:t>(a)</w:t>
      </w:r>
      <w:r>
        <w:rPr>
          <w:rFonts w:hint="eastAsia" w:ascii="Times New Roman" w:hAnsi="Times New Roman" w:eastAsia="黑体" w:cs="Times New Roman"/>
          <w:color w:val="auto"/>
          <w:sz w:val="24"/>
          <w:szCs w:val="24"/>
          <w:lang w:val="en-US" w:eastAsia="zh-CN"/>
        </w:rPr>
        <w:t xml:space="preserve">              </w:t>
      </w:r>
      <w:r>
        <w:rPr>
          <w:rFonts w:hint="eastAsia" w:eastAsia="黑体" w:cs="Times New Roman"/>
          <w:color w:val="auto"/>
          <w:sz w:val="24"/>
          <w:szCs w:val="24"/>
          <w:lang w:val="en-US" w:eastAsia="zh-CN"/>
        </w:rPr>
        <w:t xml:space="preserve">                        </w:t>
      </w:r>
      <w:r>
        <w:rPr>
          <w:rFonts w:hint="eastAsia" w:ascii="Times New Roman" w:hAnsi="Times New Roman" w:eastAsia="黑体" w:cs="Times New Roman"/>
          <w:color w:val="auto"/>
          <w:sz w:val="24"/>
          <w:szCs w:val="24"/>
          <w:lang w:val="en-US" w:eastAsia="zh-CN"/>
        </w:rPr>
        <w:t xml:space="preserve">  （b）</w:t>
      </w:r>
    </w:p>
    <w:p w14:paraId="1713E6B3">
      <w:pPr>
        <w:pStyle w:val="9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696845" cy="3241040"/>
            <wp:effectExtent l="0" t="0" r="825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2696845" cy="324104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2593975" cy="3248660"/>
            <wp:effectExtent l="0" t="0" r="1587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593975" cy="3248660"/>
                    </a:xfrm>
                    <a:prstGeom prst="rect">
                      <a:avLst/>
                    </a:prstGeom>
                    <a:noFill/>
                    <a:ln>
                      <a:noFill/>
                    </a:ln>
                  </pic:spPr>
                </pic:pic>
              </a:graphicData>
            </a:graphic>
          </wp:inline>
        </w:drawing>
      </w:r>
    </w:p>
    <w:p w14:paraId="4F326AA0">
      <w:pPr>
        <w:pStyle w:val="90"/>
        <w:ind w:firstLine="400"/>
        <w:rPr>
          <w:rFonts w:hint="default" w:ascii="Times New Roman" w:hAnsi="Times New Roman" w:eastAsia="黑体" w:cs="Times New Roman"/>
          <w:color w:val="auto"/>
          <w:sz w:val="24"/>
          <w:szCs w:val="24"/>
          <w:lang w:val="en-US" w:eastAsia="zh-CN"/>
        </w:rPr>
      </w:pPr>
      <w:r>
        <w:rPr>
          <w:rFonts w:hint="eastAsia" w:ascii="Times New Roman" w:hAnsi="Times New Roman" w:eastAsia="黑体" w:cs="Times New Roman"/>
          <w:color w:val="auto"/>
          <w:sz w:val="24"/>
          <w:szCs w:val="24"/>
          <w:lang w:val="en-US" w:eastAsia="zh-CN"/>
        </w:rPr>
        <w:t xml:space="preserve">   </w:t>
      </w:r>
      <w:r>
        <w:rPr>
          <w:rFonts w:hint="eastAsia" w:eastAsia="黑体" w:cs="Times New Roman"/>
          <w:color w:val="auto"/>
          <w:sz w:val="24"/>
          <w:szCs w:val="24"/>
          <w:lang w:val="en-US" w:eastAsia="zh-CN"/>
        </w:rPr>
        <w:t>(c)</w:t>
      </w:r>
      <w:r>
        <w:rPr>
          <w:rFonts w:hint="eastAsia" w:ascii="Times New Roman" w:hAnsi="Times New Roman" w:eastAsia="黑体" w:cs="Times New Roman"/>
          <w:color w:val="auto"/>
          <w:sz w:val="24"/>
          <w:szCs w:val="24"/>
          <w:lang w:val="en-US" w:eastAsia="zh-CN"/>
        </w:rPr>
        <w:t xml:space="preserve">              </w:t>
      </w:r>
      <w:r>
        <w:rPr>
          <w:rFonts w:hint="eastAsia" w:eastAsia="黑体" w:cs="Times New Roman"/>
          <w:color w:val="auto"/>
          <w:sz w:val="24"/>
          <w:szCs w:val="24"/>
          <w:lang w:val="en-US" w:eastAsia="zh-CN"/>
        </w:rPr>
        <w:t xml:space="preserve">                        </w:t>
      </w:r>
      <w:r>
        <w:rPr>
          <w:rFonts w:hint="eastAsia" w:ascii="Times New Roman" w:hAnsi="Times New Roman" w:eastAsia="黑体" w:cs="Times New Roman"/>
          <w:color w:val="auto"/>
          <w:sz w:val="24"/>
          <w:szCs w:val="24"/>
          <w:lang w:val="en-US" w:eastAsia="zh-CN"/>
        </w:rPr>
        <w:t xml:space="preserve">  （</w:t>
      </w:r>
      <w:r>
        <w:rPr>
          <w:rFonts w:hint="eastAsia" w:eastAsia="黑体" w:cs="Times New Roman"/>
          <w:color w:val="auto"/>
          <w:sz w:val="24"/>
          <w:szCs w:val="24"/>
          <w:lang w:val="en-US" w:eastAsia="zh-CN"/>
        </w:rPr>
        <w:t>d</w:t>
      </w:r>
      <w:r>
        <w:rPr>
          <w:rFonts w:hint="eastAsia" w:ascii="Times New Roman" w:hAnsi="Times New Roman" w:eastAsia="黑体" w:cs="Times New Roman"/>
          <w:color w:val="auto"/>
          <w:sz w:val="24"/>
          <w:szCs w:val="24"/>
          <w:lang w:val="en-US" w:eastAsia="zh-CN"/>
        </w:rPr>
        <w:t>）</w:t>
      </w:r>
    </w:p>
    <w:p w14:paraId="27015851">
      <w:pPr>
        <w:spacing w:line="560" w:lineRule="exact"/>
        <w:ind w:firstLine="0" w:firstLineChars="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图</w:t>
      </w:r>
      <w:r>
        <w:rPr>
          <w:rFonts w:hint="eastAsia" w:eastAsia="黑体" w:cs="Times New Roman"/>
          <w:color w:val="auto"/>
          <w:sz w:val="24"/>
          <w:szCs w:val="24"/>
          <w:lang w:val="en-US" w:eastAsia="zh-CN"/>
        </w:rPr>
        <w:t>4-2</w:t>
      </w:r>
      <w:r>
        <w:rPr>
          <w:rFonts w:hint="default" w:ascii="Times New Roman" w:hAnsi="Times New Roman" w:eastAsia="黑体" w:cs="Times New Roman"/>
          <w:color w:val="auto"/>
          <w:sz w:val="24"/>
          <w:szCs w:val="24"/>
        </w:rPr>
        <w:t xml:space="preserve"> </w:t>
      </w:r>
      <w:r>
        <w:rPr>
          <w:rFonts w:hint="eastAsia" w:eastAsia="黑体" w:cs="Times New Roman"/>
          <w:color w:val="auto"/>
          <w:sz w:val="24"/>
          <w:szCs w:val="24"/>
          <w:lang w:eastAsia="zh-CN"/>
        </w:rPr>
        <w:t>交通噪声预测</w:t>
      </w:r>
      <w:r>
        <w:rPr>
          <w:rFonts w:hint="eastAsia" w:eastAsia="黑体" w:cs="Times New Roman"/>
          <w:color w:val="auto"/>
          <w:sz w:val="24"/>
          <w:szCs w:val="24"/>
          <w:lang w:val="en-US" w:eastAsia="zh-CN"/>
        </w:rPr>
        <w:t>4大片区</w:t>
      </w:r>
    </w:p>
    <w:p w14:paraId="29D23797">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噪声预测选用《环境影响评价技术导则声环境》（HJ2.4-2021）附录B.2中推荐的公路（道路）交通运输噪声预测模型。</w:t>
      </w:r>
    </w:p>
    <w:p w14:paraId="00AB53C2">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根据本项目敏感点分布情况及建筑物特征，在水平方向，预测点位于不同的声环境功能区面向道路首排位置。在垂直方向，预测点选择位于建筑物临路层窗户处，距离楼面高度为1.2m。</w:t>
      </w:r>
    </w:p>
    <w:p w14:paraId="47B8D9E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各道路噪声现状数据</w:t>
      </w:r>
      <w:r>
        <w:rPr>
          <w:rFonts w:hint="eastAsia" w:cs="Times New Roman"/>
          <w:color w:val="auto"/>
          <w:lang w:eastAsia="zh-CN"/>
        </w:rPr>
        <w:t>来自</w:t>
      </w:r>
      <w:r>
        <w:rPr>
          <w:rFonts w:hint="default" w:ascii="Times New Roman" w:hAnsi="Times New Roman" w:cs="Times New Roman"/>
          <w:color w:val="auto"/>
        </w:rPr>
        <w:t>2023年度道路交通噪声例行监测数据，为确保划分的普适性，取监测数据的Leq</w:t>
      </w:r>
      <w:r>
        <w:rPr>
          <w:rFonts w:hint="eastAsia" w:cs="Times New Roman"/>
          <w:color w:val="auto"/>
          <w:lang w:eastAsia="zh-CN"/>
        </w:rPr>
        <w:t>作为</w:t>
      </w:r>
      <w:r>
        <w:rPr>
          <w:rFonts w:hint="default" w:ascii="Times New Roman" w:hAnsi="Times New Roman" w:cs="Times New Roman"/>
          <w:color w:val="auto"/>
        </w:rPr>
        <w:t>各道路的噪声源强值。</w:t>
      </w:r>
    </w:p>
    <w:p w14:paraId="198CFF2A">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利用Cadna-A对以上述片区建模，并预测其昼间、夜间的噪声分布情况，结果如下。</w:t>
      </w:r>
    </w:p>
    <w:p w14:paraId="5125B7B0">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17745" cy="2484755"/>
            <wp:effectExtent l="0" t="0" r="1905" b="10795"/>
            <wp:docPr id="9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17"/>
                    <pic:cNvPicPr>
                      <a:picLocks noChangeAspect="1"/>
                    </pic:cNvPicPr>
                  </pic:nvPicPr>
                  <pic:blipFill>
                    <a:blip r:embed="rId13"/>
                    <a:stretch>
                      <a:fillRect/>
                    </a:stretch>
                  </pic:blipFill>
                  <pic:spPr>
                    <a:xfrm>
                      <a:off x="0" y="0"/>
                      <a:ext cx="4817745" cy="2484755"/>
                    </a:xfrm>
                    <a:prstGeom prst="rect">
                      <a:avLst/>
                    </a:prstGeom>
                    <a:noFill/>
                    <a:ln>
                      <a:noFill/>
                    </a:ln>
                  </pic:spPr>
                </pic:pic>
              </a:graphicData>
            </a:graphic>
          </wp:inline>
        </w:drawing>
      </w:r>
    </w:p>
    <w:p w14:paraId="2F04B514">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w:t>
      </w:r>
      <w:r>
        <w:rPr>
          <w:rFonts w:hint="eastAsia" w:eastAsia="黑体" w:cs="Times New Roman"/>
          <w:color w:val="auto"/>
          <w:sz w:val="21"/>
          <w:szCs w:val="21"/>
          <w:lang w:val="en-US" w:eastAsia="zh-CN"/>
        </w:rPr>
        <w:t>4-3</w:t>
      </w:r>
      <w:r>
        <w:rPr>
          <w:rFonts w:hint="default" w:ascii="Times New Roman" w:hAnsi="Times New Roman" w:eastAsia="黑体" w:cs="Times New Roman"/>
          <w:color w:val="auto"/>
          <w:sz w:val="21"/>
          <w:szCs w:val="21"/>
        </w:rPr>
        <w:t>内环西线-汉中路-莫愁路-水西门大街片区建模</w:t>
      </w:r>
    </w:p>
    <w:p w14:paraId="747CEB93">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866005" cy="5593080"/>
            <wp:effectExtent l="0" t="0" r="10795" b="7620"/>
            <wp:docPr id="9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10"/>
                    <pic:cNvPicPr>
                      <a:picLocks noChangeAspect="1"/>
                    </pic:cNvPicPr>
                  </pic:nvPicPr>
                  <pic:blipFill>
                    <a:blip r:embed="rId14"/>
                    <a:stretch>
                      <a:fillRect/>
                    </a:stretch>
                  </pic:blipFill>
                  <pic:spPr>
                    <a:xfrm>
                      <a:off x="0" y="0"/>
                      <a:ext cx="4866005" cy="5593080"/>
                    </a:xfrm>
                    <a:prstGeom prst="rect">
                      <a:avLst/>
                    </a:prstGeom>
                    <a:noFill/>
                    <a:ln>
                      <a:noFill/>
                    </a:ln>
                  </pic:spPr>
                </pic:pic>
              </a:graphicData>
            </a:graphic>
          </wp:inline>
        </w:drawing>
      </w:r>
    </w:p>
    <w:p w14:paraId="36900FAF">
      <w:pPr>
        <w:spacing w:line="240" w:lineRule="auto"/>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w:t>
      </w:r>
      <w:r>
        <w:rPr>
          <w:rFonts w:hint="eastAsia" w:eastAsia="黑体" w:cs="Times New Roman"/>
          <w:color w:val="auto"/>
          <w:sz w:val="21"/>
          <w:szCs w:val="21"/>
          <w:lang w:val="en-US" w:eastAsia="zh-CN"/>
        </w:rPr>
        <w:t xml:space="preserve">4-4 </w:t>
      </w:r>
      <w:r>
        <w:rPr>
          <w:rFonts w:hint="default" w:ascii="Times New Roman" w:hAnsi="Times New Roman" w:eastAsia="黑体" w:cs="Times New Roman"/>
          <w:color w:val="auto"/>
          <w:sz w:val="21"/>
          <w:szCs w:val="21"/>
        </w:rPr>
        <w:t>内环西线-汉中路-莫愁路-水西门大街片区预测结果（昼间）</w:t>
      </w:r>
    </w:p>
    <w:p w14:paraId="615480DC">
      <w:pPr>
        <w:pageBreakBefore w:val="0"/>
        <w:kinsoku/>
        <w:wordWrap/>
        <w:overflowPunct/>
        <w:topLinePunct w:val="0"/>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根据预测结果，各片区一类建筑物、二类建筑物达标距离如</w:t>
      </w:r>
      <w:r>
        <w:rPr>
          <w:rFonts w:hint="eastAsia" w:cs="Times New Roman"/>
          <w:color w:val="auto"/>
          <w:lang w:eastAsia="zh-CN"/>
        </w:rPr>
        <w:t>表</w:t>
      </w:r>
      <w:r>
        <w:rPr>
          <w:rFonts w:hint="eastAsia" w:cs="Times New Roman"/>
          <w:color w:val="auto"/>
          <w:lang w:val="en-US" w:eastAsia="zh-CN"/>
        </w:rPr>
        <w:t>4-8</w:t>
      </w:r>
      <w:r>
        <w:rPr>
          <w:rFonts w:hint="default" w:ascii="Times New Roman" w:hAnsi="Times New Roman" w:cs="Times New Roman"/>
          <w:color w:val="auto"/>
        </w:rPr>
        <w:t>所示。一类建筑物在较空旷区的夜间达标距离范围为45-380米，在建筑密集区的夜间达标距离范围为35-280米；二类建筑物在较空旷区的昼间达标距离范围为35-120米，在建筑密集区的夜间达标距离范围为25-90米。</w:t>
      </w:r>
    </w:p>
    <w:p w14:paraId="01E0604D">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4-8</w:t>
      </w:r>
      <w:r>
        <w:rPr>
          <w:rFonts w:hint="default" w:ascii="Times New Roman" w:hAnsi="Times New Roman" w:eastAsia="黑体" w:cs="Times New Roman"/>
          <w:color w:val="auto"/>
          <w:sz w:val="21"/>
          <w:szCs w:val="21"/>
        </w:rPr>
        <w:t>各片区一、二类建筑物达标距离</w:t>
      </w:r>
    </w:p>
    <w:tbl>
      <w:tblPr>
        <w:tblStyle w:val="19"/>
        <w:tblW w:w="9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6"/>
        <w:gridCol w:w="1159"/>
        <w:gridCol w:w="1582"/>
        <w:gridCol w:w="1240"/>
        <w:gridCol w:w="1855"/>
      </w:tblGrid>
      <w:tr w14:paraId="35B6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56" w:type="dxa"/>
            <w:vMerge w:val="restart"/>
            <w:shd w:val="clear" w:color="auto" w:fill="auto"/>
            <w:noWrap/>
            <w:vAlign w:val="center"/>
          </w:tcPr>
          <w:p w14:paraId="17DB1E6D">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片区</w:t>
            </w:r>
          </w:p>
        </w:tc>
        <w:tc>
          <w:tcPr>
            <w:tcW w:w="2741" w:type="dxa"/>
            <w:gridSpan w:val="2"/>
            <w:shd w:val="clear" w:color="auto" w:fill="auto"/>
            <w:vAlign w:val="center"/>
          </w:tcPr>
          <w:p w14:paraId="4C2AF4C5">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一类建筑物夜间</w:t>
            </w:r>
          </w:p>
          <w:p w14:paraId="26FD0AC0">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达标距离（50dB）</w:t>
            </w:r>
          </w:p>
        </w:tc>
        <w:tc>
          <w:tcPr>
            <w:tcW w:w="3095" w:type="dxa"/>
            <w:gridSpan w:val="2"/>
            <w:shd w:val="clear" w:color="auto" w:fill="auto"/>
            <w:vAlign w:val="center"/>
          </w:tcPr>
          <w:p w14:paraId="549231C7">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二类建筑物昼间</w:t>
            </w:r>
          </w:p>
          <w:p w14:paraId="078C8AD2">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达标距离（60dB）</w:t>
            </w:r>
          </w:p>
        </w:tc>
      </w:tr>
      <w:tr w14:paraId="074B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056" w:type="dxa"/>
            <w:vMerge w:val="continue"/>
            <w:shd w:val="clear" w:color="auto" w:fill="auto"/>
            <w:noWrap/>
            <w:vAlign w:val="center"/>
          </w:tcPr>
          <w:p w14:paraId="2BD560C4">
            <w:pPr>
              <w:spacing w:line="360" w:lineRule="exact"/>
              <w:ind w:firstLine="0" w:firstLineChars="0"/>
              <w:jc w:val="center"/>
              <w:rPr>
                <w:rFonts w:hint="default" w:ascii="Times New Roman" w:hAnsi="Times New Roman" w:cs="Times New Roman"/>
                <w:b/>
                <w:color w:val="auto"/>
                <w:sz w:val="24"/>
              </w:rPr>
            </w:pPr>
          </w:p>
        </w:tc>
        <w:tc>
          <w:tcPr>
            <w:tcW w:w="1159" w:type="dxa"/>
            <w:shd w:val="clear" w:color="auto" w:fill="auto"/>
            <w:noWrap/>
            <w:vAlign w:val="center"/>
          </w:tcPr>
          <w:p w14:paraId="33EE191E">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空旷区</w:t>
            </w:r>
          </w:p>
        </w:tc>
        <w:tc>
          <w:tcPr>
            <w:tcW w:w="1582" w:type="dxa"/>
            <w:shd w:val="clear" w:color="auto" w:fill="auto"/>
            <w:noWrap/>
            <w:vAlign w:val="center"/>
          </w:tcPr>
          <w:p w14:paraId="50466C8A">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建筑密集区</w:t>
            </w:r>
          </w:p>
        </w:tc>
        <w:tc>
          <w:tcPr>
            <w:tcW w:w="1240" w:type="dxa"/>
            <w:shd w:val="clear" w:color="auto" w:fill="auto"/>
            <w:noWrap/>
            <w:vAlign w:val="center"/>
          </w:tcPr>
          <w:p w14:paraId="38BEBF67">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空旷区</w:t>
            </w:r>
          </w:p>
        </w:tc>
        <w:tc>
          <w:tcPr>
            <w:tcW w:w="1855" w:type="dxa"/>
            <w:shd w:val="clear" w:color="auto" w:fill="auto"/>
            <w:noWrap/>
            <w:vAlign w:val="center"/>
          </w:tcPr>
          <w:p w14:paraId="08C1A105">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建筑密集区</w:t>
            </w:r>
          </w:p>
        </w:tc>
      </w:tr>
      <w:tr w14:paraId="7C12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6" w:type="dxa"/>
            <w:shd w:val="clear" w:color="auto" w:fill="auto"/>
            <w:noWrap/>
            <w:vAlign w:val="center"/>
          </w:tcPr>
          <w:p w14:paraId="640D7B1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内环西线-汉中路-莫愁路-水西门大街</w:t>
            </w:r>
          </w:p>
        </w:tc>
        <w:tc>
          <w:tcPr>
            <w:tcW w:w="1159" w:type="dxa"/>
            <w:shd w:val="clear" w:color="auto" w:fill="auto"/>
            <w:noWrap/>
            <w:vAlign w:val="center"/>
          </w:tcPr>
          <w:p w14:paraId="74382A7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145-380</w:t>
            </w:r>
          </w:p>
        </w:tc>
        <w:tc>
          <w:tcPr>
            <w:tcW w:w="1582" w:type="dxa"/>
            <w:shd w:val="clear" w:color="auto" w:fill="auto"/>
            <w:noWrap/>
            <w:vAlign w:val="center"/>
          </w:tcPr>
          <w:p w14:paraId="29C24D3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70-280</w:t>
            </w:r>
          </w:p>
        </w:tc>
        <w:tc>
          <w:tcPr>
            <w:tcW w:w="1240" w:type="dxa"/>
            <w:shd w:val="clear" w:color="auto" w:fill="auto"/>
            <w:noWrap/>
            <w:vAlign w:val="center"/>
          </w:tcPr>
          <w:p w14:paraId="1E19B23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35-120</w:t>
            </w:r>
          </w:p>
        </w:tc>
        <w:tc>
          <w:tcPr>
            <w:tcW w:w="1855" w:type="dxa"/>
            <w:shd w:val="clear" w:color="auto" w:fill="auto"/>
            <w:noWrap/>
            <w:vAlign w:val="center"/>
          </w:tcPr>
          <w:p w14:paraId="5AD6C36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30-90</w:t>
            </w:r>
          </w:p>
        </w:tc>
      </w:tr>
      <w:tr w14:paraId="5735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6" w:type="dxa"/>
            <w:shd w:val="clear" w:color="auto" w:fill="auto"/>
            <w:noWrap/>
            <w:vAlign w:val="center"/>
          </w:tcPr>
          <w:p w14:paraId="76FF747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内环东线-中山东路-御道街-瑞金路</w:t>
            </w:r>
          </w:p>
        </w:tc>
        <w:tc>
          <w:tcPr>
            <w:tcW w:w="1159" w:type="dxa"/>
            <w:shd w:val="clear" w:color="auto" w:fill="auto"/>
            <w:noWrap/>
            <w:vAlign w:val="center"/>
          </w:tcPr>
          <w:p w14:paraId="4123A91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50-180</w:t>
            </w:r>
          </w:p>
        </w:tc>
        <w:tc>
          <w:tcPr>
            <w:tcW w:w="1582" w:type="dxa"/>
            <w:shd w:val="clear" w:color="auto" w:fill="auto"/>
            <w:noWrap/>
            <w:vAlign w:val="center"/>
          </w:tcPr>
          <w:p w14:paraId="101B73B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40-90</w:t>
            </w:r>
          </w:p>
        </w:tc>
        <w:tc>
          <w:tcPr>
            <w:tcW w:w="1240" w:type="dxa"/>
            <w:shd w:val="clear" w:color="auto" w:fill="auto"/>
            <w:noWrap/>
            <w:vAlign w:val="center"/>
          </w:tcPr>
          <w:p w14:paraId="0832CD1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40-85</w:t>
            </w:r>
          </w:p>
        </w:tc>
        <w:tc>
          <w:tcPr>
            <w:tcW w:w="1855" w:type="dxa"/>
            <w:shd w:val="clear" w:color="auto" w:fill="auto"/>
            <w:noWrap/>
            <w:vAlign w:val="center"/>
          </w:tcPr>
          <w:p w14:paraId="1FF3634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30-50</w:t>
            </w:r>
          </w:p>
        </w:tc>
      </w:tr>
      <w:tr w14:paraId="29E8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6" w:type="dxa"/>
            <w:shd w:val="clear" w:color="auto" w:fill="auto"/>
            <w:noWrap/>
            <w:vAlign w:val="center"/>
          </w:tcPr>
          <w:p w14:paraId="29B2106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中山南路-中山东路-太平南路-白下路</w:t>
            </w:r>
          </w:p>
        </w:tc>
        <w:tc>
          <w:tcPr>
            <w:tcW w:w="1159" w:type="dxa"/>
            <w:shd w:val="clear" w:color="auto" w:fill="auto"/>
            <w:noWrap/>
            <w:vAlign w:val="center"/>
          </w:tcPr>
          <w:p w14:paraId="2F2D316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150-270</w:t>
            </w:r>
          </w:p>
        </w:tc>
        <w:tc>
          <w:tcPr>
            <w:tcW w:w="1582" w:type="dxa"/>
            <w:shd w:val="clear" w:color="auto" w:fill="auto"/>
            <w:noWrap/>
            <w:vAlign w:val="center"/>
          </w:tcPr>
          <w:p w14:paraId="73CD871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70-150</w:t>
            </w:r>
          </w:p>
        </w:tc>
        <w:tc>
          <w:tcPr>
            <w:tcW w:w="1240" w:type="dxa"/>
            <w:shd w:val="clear" w:color="auto" w:fill="auto"/>
            <w:noWrap/>
            <w:vAlign w:val="center"/>
          </w:tcPr>
          <w:p w14:paraId="2EC4B0E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40-60</w:t>
            </w:r>
          </w:p>
        </w:tc>
        <w:tc>
          <w:tcPr>
            <w:tcW w:w="1855" w:type="dxa"/>
            <w:shd w:val="clear" w:color="auto" w:fill="auto"/>
            <w:noWrap/>
            <w:vAlign w:val="center"/>
          </w:tcPr>
          <w:p w14:paraId="4AC2B00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35-50</w:t>
            </w:r>
          </w:p>
        </w:tc>
      </w:tr>
      <w:tr w14:paraId="381E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056" w:type="dxa"/>
            <w:shd w:val="clear" w:color="auto" w:fill="auto"/>
            <w:noWrap/>
            <w:vAlign w:val="center"/>
          </w:tcPr>
          <w:p w14:paraId="462B024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解放路-瑞金路-御道街-大光路</w:t>
            </w:r>
          </w:p>
        </w:tc>
        <w:tc>
          <w:tcPr>
            <w:tcW w:w="1159" w:type="dxa"/>
            <w:shd w:val="clear" w:color="auto" w:fill="auto"/>
            <w:noWrap/>
            <w:vAlign w:val="center"/>
          </w:tcPr>
          <w:p w14:paraId="7B03A13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45-160</w:t>
            </w:r>
          </w:p>
        </w:tc>
        <w:tc>
          <w:tcPr>
            <w:tcW w:w="1582" w:type="dxa"/>
            <w:shd w:val="clear" w:color="auto" w:fill="auto"/>
            <w:noWrap/>
            <w:vAlign w:val="center"/>
          </w:tcPr>
          <w:p w14:paraId="554C3D4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35-50</w:t>
            </w:r>
          </w:p>
        </w:tc>
        <w:tc>
          <w:tcPr>
            <w:tcW w:w="1240" w:type="dxa"/>
            <w:shd w:val="clear" w:color="auto" w:fill="auto"/>
            <w:noWrap/>
            <w:vAlign w:val="center"/>
          </w:tcPr>
          <w:p w14:paraId="68D8A51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35-60</w:t>
            </w:r>
          </w:p>
        </w:tc>
        <w:tc>
          <w:tcPr>
            <w:tcW w:w="1855" w:type="dxa"/>
            <w:shd w:val="clear" w:color="auto" w:fill="auto"/>
            <w:noWrap/>
            <w:vAlign w:val="center"/>
          </w:tcPr>
          <w:p w14:paraId="5A422F5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25-40</w:t>
            </w:r>
          </w:p>
        </w:tc>
      </w:tr>
    </w:tbl>
    <w:p w14:paraId="0C6FFD5D">
      <w:pPr>
        <w:keepNext w:val="0"/>
        <w:keepLines w:val="0"/>
        <w:pageBreakBefore w:val="0"/>
        <w:widowControl w:val="0"/>
        <w:kinsoku/>
        <w:wordWrap/>
        <w:overflowPunct/>
        <w:topLinePunct w:val="0"/>
        <w:autoSpaceDE/>
        <w:autoSpaceDN/>
        <w:bidi w:val="0"/>
        <w:adjustRightInd/>
        <w:snapToGrid/>
        <w:spacing w:line="560" w:lineRule="exact"/>
        <w:ind w:left="640" w:firstLine="0" w:firstLineChars="0"/>
        <w:textAlignment w:val="auto"/>
        <w:rPr>
          <w:rFonts w:hint="default" w:ascii="Times New Roman" w:hAnsi="Times New Roman" w:cs="Times New Roman"/>
          <w:b/>
          <w:bCs/>
          <w:color w:val="auto"/>
          <w:szCs w:val="32"/>
        </w:rPr>
      </w:pPr>
      <w:r>
        <w:rPr>
          <w:rFonts w:hint="default" w:ascii="Times New Roman" w:hAnsi="Times New Roman" w:cs="Times New Roman"/>
          <w:b/>
          <w:bCs/>
          <w:color w:val="auto"/>
          <w:szCs w:val="32"/>
        </w:rPr>
        <w:fldChar w:fldCharType="begin"/>
      </w:r>
      <w:r>
        <w:rPr>
          <w:rFonts w:hint="default" w:ascii="Times New Roman" w:hAnsi="Times New Roman" w:cs="Times New Roman"/>
          <w:b/>
          <w:bCs/>
          <w:color w:val="auto"/>
          <w:szCs w:val="32"/>
        </w:rPr>
        <w:instrText xml:space="preserve"> = 2 \* ROMAN </w:instrText>
      </w:r>
      <w:r>
        <w:rPr>
          <w:rFonts w:hint="default" w:ascii="Times New Roman" w:hAnsi="Times New Roman" w:cs="Times New Roman"/>
          <w:b/>
          <w:bCs/>
          <w:color w:val="auto"/>
          <w:szCs w:val="32"/>
        </w:rPr>
        <w:fldChar w:fldCharType="separate"/>
      </w:r>
      <w:r>
        <w:rPr>
          <w:rFonts w:hint="default" w:ascii="Times New Roman" w:hAnsi="Times New Roman" w:cs="Times New Roman"/>
          <w:b/>
          <w:bCs/>
          <w:color w:val="auto"/>
          <w:szCs w:val="32"/>
        </w:rPr>
        <w:t>II</w:t>
      </w:r>
      <w:r>
        <w:rPr>
          <w:rFonts w:hint="default" w:ascii="Times New Roman" w:hAnsi="Times New Roman" w:cs="Times New Roman"/>
          <w:b/>
          <w:bCs/>
          <w:color w:val="auto"/>
          <w:szCs w:val="32"/>
        </w:rPr>
        <w:fldChar w:fldCharType="end"/>
      </w:r>
      <w:r>
        <w:rPr>
          <w:rFonts w:hint="default" w:ascii="Times New Roman" w:hAnsi="Times New Roman" w:cs="Times New Roman"/>
          <w:b/>
          <w:bCs/>
          <w:color w:val="auto"/>
          <w:szCs w:val="32"/>
        </w:rPr>
        <w:t>施工噪声衰减特性分析</w:t>
      </w:r>
    </w:p>
    <w:p w14:paraId="3F578811">
      <w:pPr>
        <w:keepNext w:val="0"/>
        <w:keepLines w:val="0"/>
        <w:pageBreakBefore w:val="0"/>
        <w:widowControl w:val="0"/>
        <w:kinsoku/>
        <w:wordWrap/>
        <w:overflowPunct/>
        <w:topLinePunct w:val="0"/>
        <w:autoSpaceDE/>
        <w:autoSpaceDN/>
        <w:bidi w:val="0"/>
        <w:adjustRightInd/>
        <w:snapToGrid/>
        <w:spacing w:line="560" w:lineRule="exact"/>
        <w:ind w:firstLine="645" w:firstLineChars="0"/>
        <w:textAlignment w:val="auto"/>
        <w:rPr>
          <w:rFonts w:hint="default" w:ascii="Times New Roman" w:hAnsi="Times New Roman" w:cs="Times New Roman"/>
          <w:color w:val="auto"/>
        </w:rPr>
      </w:pPr>
      <w:r>
        <w:rPr>
          <w:rFonts w:hint="eastAsia" w:cs="Times New Roman"/>
          <w:color w:val="auto"/>
          <w:lang w:eastAsia="zh-CN"/>
        </w:rPr>
        <w:t>（一）</w:t>
      </w:r>
      <w:r>
        <w:rPr>
          <w:rFonts w:hint="default" w:ascii="Times New Roman" w:hAnsi="Times New Roman" w:cs="Times New Roman"/>
          <w:color w:val="auto"/>
        </w:rPr>
        <w:t>施工作业噪声衰减预测</w:t>
      </w:r>
    </w:p>
    <w:p w14:paraId="1C0BBF42">
      <w:pPr>
        <w:keepNext w:val="0"/>
        <w:keepLines w:val="0"/>
        <w:pageBreakBefore w:val="0"/>
        <w:widowControl w:val="0"/>
        <w:kinsoku/>
        <w:wordWrap/>
        <w:overflowPunct/>
        <w:topLinePunct w:val="0"/>
        <w:autoSpaceDE/>
        <w:autoSpaceDN/>
        <w:bidi w:val="0"/>
        <w:adjustRightInd/>
        <w:snapToGrid/>
        <w:spacing w:line="560" w:lineRule="exact"/>
        <w:ind w:firstLine="645" w:firstLineChars="0"/>
        <w:textAlignment w:val="auto"/>
        <w:rPr>
          <w:rFonts w:hint="default" w:ascii="Times New Roman" w:hAnsi="Times New Roman" w:cs="Times New Roman"/>
          <w:color w:val="auto"/>
        </w:rPr>
      </w:pPr>
      <w:r>
        <w:rPr>
          <w:rFonts w:hint="default" w:ascii="Times New Roman" w:hAnsi="Times New Roman" w:cs="Times New Roman"/>
          <w:color w:val="auto"/>
        </w:rPr>
        <w:t>施工作业噪声主要</w:t>
      </w:r>
      <w:r>
        <w:rPr>
          <w:rFonts w:hint="eastAsia" w:cs="Times New Roman"/>
          <w:color w:val="auto"/>
          <w:lang w:eastAsia="zh-CN"/>
        </w:rPr>
        <w:t>来自</w:t>
      </w:r>
      <w:r>
        <w:rPr>
          <w:rFonts w:hint="default" w:ascii="Times New Roman" w:hAnsi="Times New Roman" w:cs="Times New Roman"/>
          <w:color w:val="auto"/>
        </w:rPr>
        <w:t>施工机械的机械噪声。根据施工特点，可以把施工过程主要可以分为四个阶段：拆迁、地基施工、地面施工、其他工程施工。上述四个阶段采用的主要施工机械见表</w:t>
      </w:r>
      <w:r>
        <w:rPr>
          <w:rFonts w:hint="eastAsia" w:cs="Times New Roman"/>
          <w:color w:val="auto"/>
          <w:lang w:val="en-US" w:eastAsia="zh-CN"/>
        </w:rPr>
        <w:t>4-9</w:t>
      </w:r>
      <w:r>
        <w:rPr>
          <w:rFonts w:hint="default" w:ascii="Times New Roman" w:hAnsi="Times New Roman" w:cs="Times New Roman"/>
          <w:color w:val="auto"/>
        </w:rPr>
        <w:t>。</w:t>
      </w:r>
    </w:p>
    <w:p w14:paraId="09B4FA9B">
      <w:pPr>
        <w:spacing w:line="560" w:lineRule="exact"/>
        <w:ind w:firstLine="0" w:firstLineChars="0"/>
        <w:jc w:val="center"/>
        <w:rPr>
          <w:rFonts w:hint="default" w:ascii="Times New Roman" w:hAnsi="Times New Roman" w:eastAsia="黑体" w:cs="Times New Roman"/>
          <w:color w:val="auto"/>
          <w:sz w:val="21"/>
          <w:szCs w:val="21"/>
        </w:rPr>
      </w:pPr>
      <w:bookmarkStart w:id="24" w:name="_Ref327211130"/>
      <w:bookmarkStart w:id="25" w:name="_Ref318879870"/>
      <w:bookmarkStart w:id="26" w:name="_Toc318983248"/>
      <w:r>
        <w:rPr>
          <w:rFonts w:hint="default" w:ascii="Times New Roman" w:hAnsi="Times New Roman" w:eastAsia="黑体" w:cs="Times New Roman"/>
          <w:color w:val="auto"/>
          <w:sz w:val="21"/>
          <w:szCs w:val="21"/>
        </w:rPr>
        <w:t>表</w:t>
      </w:r>
      <w:bookmarkEnd w:id="24"/>
      <w:bookmarkEnd w:id="25"/>
      <w:r>
        <w:rPr>
          <w:rFonts w:hint="eastAsia" w:eastAsia="黑体" w:cs="Times New Roman"/>
          <w:color w:val="auto"/>
          <w:sz w:val="21"/>
          <w:szCs w:val="21"/>
          <w:lang w:val="en-US" w:eastAsia="zh-CN"/>
        </w:rPr>
        <w:t xml:space="preserve">4-9 </w:t>
      </w:r>
      <w:r>
        <w:rPr>
          <w:rFonts w:hint="default" w:ascii="Times New Roman" w:hAnsi="Times New Roman" w:eastAsia="黑体" w:cs="Times New Roman"/>
          <w:color w:val="auto"/>
          <w:sz w:val="21"/>
          <w:szCs w:val="21"/>
        </w:rPr>
        <w:t>不同施工阶段采用的施工机械</w:t>
      </w:r>
      <w:bookmarkEnd w:id="26"/>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7"/>
        <w:gridCol w:w="7495"/>
      </w:tblGrid>
      <w:tr w14:paraId="4E956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196" w:type="pct"/>
            <w:shd w:val="clear" w:color="auto" w:fill="auto"/>
            <w:vAlign w:val="center"/>
          </w:tcPr>
          <w:p w14:paraId="7EFEC58D">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施工阶段</w:t>
            </w:r>
          </w:p>
        </w:tc>
        <w:tc>
          <w:tcPr>
            <w:tcW w:w="3803" w:type="pct"/>
            <w:shd w:val="clear" w:color="auto" w:fill="auto"/>
            <w:vAlign w:val="center"/>
          </w:tcPr>
          <w:p w14:paraId="0EEDA9BD">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施工机械</w:t>
            </w:r>
          </w:p>
        </w:tc>
      </w:tr>
      <w:tr w14:paraId="31B7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shd w:val="clear" w:color="auto" w:fill="auto"/>
            <w:vAlign w:val="center"/>
          </w:tcPr>
          <w:p w14:paraId="539E020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拆迁工程</w:t>
            </w:r>
          </w:p>
        </w:tc>
        <w:tc>
          <w:tcPr>
            <w:tcW w:w="3803" w:type="pct"/>
            <w:shd w:val="clear" w:color="auto" w:fill="auto"/>
            <w:vAlign w:val="center"/>
          </w:tcPr>
          <w:p w14:paraId="6FBFF21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挖掘机、推土机、风镐、平地机、运输车辆等</w:t>
            </w:r>
          </w:p>
        </w:tc>
      </w:tr>
      <w:tr w14:paraId="10F9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shd w:val="clear" w:color="auto" w:fill="auto"/>
            <w:vAlign w:val="center"/>
          </w:tcPr>
          <w:p w14:paraId="69D2B62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地基填挖</w:t>
            </w:r>
          </w:p>
        </w:tc>
        <w:tc>
          <w:tcPr>
            <w:tcW w:w="3803" w:type="pct"/>
            <w:shd w:val="clear" w:color="auto" w:fill="auto"/>
            <w:vAlign w:val="center"/>
          </w:tcPr>
          <w:p w14:paraId="53A235E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推土机、挖掘机、装载机、平地机等</w:t>
            </w:r>
          </w:p>
        </w:tc>
      </w:tr>
      <w:tr w14:paraId="58CE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dxa"/>
            <w:shd w:val="clear" w:color="auto" w:fill="auto"/>
            <w:vAlign w:val="center"/>
          </w:tcPr>
          <w:p w14:paraId="5BF07F5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地基填筑</w:t>
            </w:r>
          </w:p>
        </w:tc>
        <w:tc>
          <w:tcPr>
            <w:tcW w:w="3803" w:type="pct"/>
            <w:shd w:val="clear" w:color="auto" w:fill="auto"/>
            <w:vAlign w:val="center"/>
          </w:tcPr>
          <w:p w14:paraId="34526A8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推土机、挖掘机、装载机、平地机等</w:t>
            </w:r>
          </w:p>
        </w:tc>
      </w:tr>
      <w:tr w14:paraId="2687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shd w:val="clear" w:color="auto" w:fill="auto"/>
            <w:vAlign w:val="center"/>
          </w:tcPr>
          <w:p w14:paraId="0184645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桩基施工</w:t>
            </w:r>
          </w:p>
        </w:tc>
        <w:tc>
          <w:tcPr>
            <w:tcW w:w="3803" w:type="pct"/>
            <w:shd w:val="clear" w:color="auto" w:fill="auto"/>
            <w:vAlign w:val="center"/>
          </w:tcPr>
          <w:p w14:paraId="4F08FAB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钻井机、打桩机、吊车、运输车辆等</w:t>
            </w:r>
          </w:p>
        </w:tc>
      </w:tr>
      <w:tr w14:paraId="118B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shd w:val="clear" w:color="auto" w:fill="auto"/>
            <w:vAlign w:val="center"/>
          </w:tcPr>
          <w:p w14:paraId="3330DB0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结构安装</w:t>
            </w:r>
          </w:p>
        </w:tc>
        <w:tc>
          <w:tcPr>
            <w:tcW w:w="3803" w:type="pct"/>
            <w:shd w:val="clear" w:color="auto" w:fill="auto"/>
            <w:vAlign w:val="center"/>
          </w:tcPr>
          <w:p w14:paraId="744EE3F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装载机、平地机、吊机等</w:t>
            </w:r>
          </w:p>
        </w:tc>
      </w:tr>
      <w:tr w14:paraId="4773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11" w:type="dxa"/>
            <w:shd w:val="clear" w:color="auto" w:fill="auto"/>
            <w:vAlign w:val="center"/>
          </w:tcPr>
          <w:p w14:paraId="341E331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地面施工</w:t>
            </w:r>
          </w:p>
        </w:tc>
        <w:tc>
          <w:tcPr>
            <w:tcW w:w="3803" w:type="pct"/>
            <w:shd w:val="clear" w:color="auto" w:fill="auto"/>
            <w:vAlign w:val="center"/>
          </w:tcPr>
          <w:p w14:paraId="059BDCD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装载机、铲运机、平地机、沥青摊铺机、振动式压路机等</w:t>
            </w:r>
          </w:p>
        </w:tc>
      </w:tr>
    </w:tbl>
    <w:p w14:paraId="23AE9F89">
      <w:pPr>
        <w:ind w:firstLine="640"/>
        <w:rPr>
          <w:rFonts w:hint="default" w:ascii="Times New Roman" w:hAnsi="Times New Roman" w:cs="Times New Roman"/>
          <w:color w:val="auto"/>
        </w:rPr>
      </w:pPr>
      <w:r>
        <w:rPr>
          <w:rFonts w:hint="eastAsia" w:cs="Times New Roman"/>
          <w:color w:val="auto"/>
          <w:lang w:eastAsia="zh-CN"/>
        </w:rPr>
        <w:t>（二）</w:t>
      </w:r>
      <w:r>
        <w:rPr>
          <w:rFonts w:hint="default" w:ascii="Times New Roman" w:hAnsi="Times New Roman" w:cs="Times New Roman"/>
          <w:color w:val="auto"/>
        </w:rPr>
        <w:t>施工作业噪声衰减预测</w:t>
      </w:r>
    </w:p>
    <w:p w14:paraId="7D2B0A61">
      <w:pPr>
        <w:ind w:firstLine="640"/>
        <w:rPr>
          <w:rFonts w:hint="default" w:ascii="Times New Roman" w:hAnsi="Times New Roman" w:cs="Times New Roman"/>
          <w:color w:val="auto"/>
        </w:rPr>
      </w:pPr>
      <w:r>
        <w:rPr>
          <w:rFonts w:hint="default" w:ascii="Times New Roman" w:hAnsi="Times New Roman" w:cs="Times New Roman"/>
          <w:color w:val="auto"/>
        </w:rPr>
        <w:t>施工机械的噪声可近似视为点声源处理，根据点声源噪声衰减模式，估算距离声源不同距离处的噪声值，预测模式如下：</w:t>
      </w:r>
    </w:p>
    <w:p w14:paraId="773A339B">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130300" cy="431800"/>
            <wp:effectExtent l="0" t="0" r="0" b="5080"/>
            <wp:docPr id="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pic:cNvPicPr>
                      <a:picLocks noChangeAspect="1"/>
                    </pic:cNvPicPr>
                  </pic:nvPicPr>
                  <pic:blipFill>
                    <a:blip r:embed="rId15"/>
                    <a:stretch>
                      <a:fillRect/>
                    </a:stretch>
                  </pic:blipFill>
                  <pic:spPr>
                    <a:xfrm>
                      <a:off x="0" y="0"/>
                      <a:ext cx="1130300" cy="431800"/>
                    </a:xfrm>
                    <a:prstGeom prst="rect">
                      <a:avLst/>
                    </a:prstGeom>
                    <a:noFill/>
                    <a:ln>
                      <a:noFill/>
                    </a:ln>
                  </pic:spPr>
                </pic:pic>
              </a:graphicData>
            </a:graphic>
          </wp:inline>
        </w:drawing>
      </w:r>
    </w:p>
    <w:p w14:paraId="0EDAB1A1">
      <w:pPr>
        <w:ind w:firstLine="64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p</w:t>
      </w:r>
      <w:r>
        <w:rPr>
          <w:rFonts w:hint="default" w:ascii="Times New Roman" w:hAnsi="Times New Roman" w:cs="Times New Roman"/>
          <w:color w:val="auto"/>
        </w:rPr>
        <w:t>——距离为r处的声级，dB(A)；</w:t>
      </w:r>
    </w:p>
    <w:p w14:paraId="76DD2BC0">
      <w:pPr>
        <w:ind w:firstLine="16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p0</w:t>
      </w:r>
      <w:r>
        <w:rPr>
          <w:rFonts w:hint="default" w:ascii="Times New Roman" w:hAnsi="Times New Roman" w:cs="Times New Roman"/>
          <w:color w:val="auto"/>
        </w:rPr>
        <w:t>——参考距离为r</w:t>
      </w:r>
      <w:r>
        <w:rPr>
          <w:rFonts w:hint="default" w:ascii="Times New Roman" w:hAnsi="Times New Roman" w:cs="Times New Roman"/>
          <w:color w:val="auto"/>
          <w:vertAlign w:val="subscript"/>
        </w:rPr>
        <w:t>0</w:t>
      </w:r>
      <w:r>
        <w:rPr>
          <w:rFonts w:hint="default" w:ascii="Times New Roman" w:hAnsi="Times New Roman" w:cs="Times New Roman"/>
          <w:color w:val="auto"/>
        </w:rPr>
        <w:t>处的声级，dB(A)。</w:t>
      </w:r>
    </w:p>
    <w:p w14:paraId="1DE462C8">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施工机械为流动作业，近似按点源考虑；施工时间按昼间、夜间同负荷连续作业考虑。根据不同施工阶段的特点，假设施工机械同时作业的情景，预测不同施工阶段在施工场界处的噪声影响，见表</w:t>
      </w:r>
      <w:r>
        <w:rPr>
          <w:rFonts w:hint="eastAsia" w:cs="Times New Roman"/>
          <w:color w:val="auto"/>
          <w:lang w:val="en-US" w:eastAsia="zh-CN"/>
        </w:rPr>
        <w:t>4-10</w:t>
      </w:r>
      <w:r>
        <w:rPr>
          <w:rFonts w:hint="default" w:ascii="Times New Roman" w:hAnsi="Times New Roman" w:cs="Times New Roman"/>
          <w:color w:val="auto"/>
        </w:rPr>
        <w:t>。施工期施工噪声不同距离处的衰减预测见表</w:t>
      </w:r>
      <w:r>
        <w:rPr>
          <w:rFonts w:hint="eastAsia" w:cs="Times New Roman"/>
          <w:color w:val="auto"/>
          <w:lang w:val="en-US" w:eastAsia="zh-CN"/>
        </w:rPr>
        <w:t>4-11</w:t>
      </w:r>
      <w:r>
        <w:rPr>
          <w:rFonts w:hint="default" w:ascii="Times New Roman" w:hAnsi="Times New Roman" w:cs="Times New Roman"/>
          <w:color w:val="auto"/>
        </w:rPr>
        <w:t>。</w:t>
      </w:r>
    </w:p>
    <w:p w14:paraId="5DAE5A36">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4-10</w:t>
      </w:r>
      <w:r>
        <w:rPr>
          <w:rFonts w:hint="default" w:ascii="Times New Roman" w:hAnsi="Times New Roman" w:eastAsia="黑体" w:cs="Times New Roman"/>
          <w:color w:val="auto"/>
          <w:sz w:val="21"/>
          <w:szCs w:val="21"/>
        </w:rPr>
        <w:t>不同施工阶段同时作业的典型机械组合</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2"/>
        <w:gridCol w:w="5668"/>
      </w:tblGrid>
      <w:tr w14:paraId="2B49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123" w:type="pct"/>
            <w:shd w:val="clear" w:color="auto" w:fill="auto"/>
            <w:vAlign w:val="center"/>
          </w:tcPr>
          <w:p w14:paraId="04C7B55E">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施工阶段</w:t>
            </w:r>
          </w:p>
        </w:tc>
        <w:tc>
          <w:tcPr>
            <w:tcW w:w="2877" w:type="pct"/>
            <w:shd w:val="clear" w:color="auto" w:fill="auto"/>
            <w:vAlign w:val="center"/>
          </w:tcPr>
          <w:p w14:paraId="7C859243">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同时作业的典型机械组合</w:t>
            </w:r>
          </w:p>
        </w:tc>
      </w:tr>
      <w:tr w14:paraId="4C36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pct"/>
            <w:shd w:val="clear" w:color="auto" w:fill="auto"/>
            <w:vAlign w:val="center"/>
          </w:tcPr>
          <w:p w14:paraId="2F74B55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拆迁工程</w:t>
            </w:r>
          </w:p>
        </w:tc>
        <w:tc>
          <w:tcPr>
            <w:tcW w:w="2877" w:type="pct"/>
            <w:shd w:val="clear" w:color="auto" w:fill="auto"/>
            <w:vAlign w:val="center"/>
          </w:tcPr>
          <w:p w14:paraId="2B5DE56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挖掘机×1、风镐×1</w:t>
            </w:r>
          </w:p>
        </w:tc>
      </w:tr>
      <w:tr w14:paraId="1EEA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pct"/>
            <w:shd w:val="clear" w:color="auto" w:fill="auto"/>
            <w:vAlign w:val="center"/>
          </w:tcPr>
          <w:p w14:paraId="6849739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地基填挖</w:t>
            </w:r>
          </w:p>
        </w:tc>
        <w:tc>
          <w:tcPr>
            <w:tcW w:w="2877" w:type="pct"/>
            <w:shd w:val="clear" w:color="auto" w:fill="auto"/>
            <w:vAlign w:val="center"/>
          </w:tcPr>
          <w:p w14:paraId="64E421A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推土机×1、挖掘机×1</w:t>
            </w:r>
          </w:p>
        </w:tc>
      </w:tr>
      <w:tr w14:paraId="7F74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pct"/>
            <w:shd w:val="clear" w:color="auto" w:fill="auto"/>
            <w:vAlign w:val="center"/>
          </w:tcPr>
          <w:p w14:paraId="31A1826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桩基施工</w:t>
            </w:r>
          </w:p>
        </w:tc>
        <w:tc>
          <w:tcPr>
            <w:tcW w:w="2877" w:type="pct"/>
            <w:shd w:val="clear" w:color="auto" w:fill="auto"/>
            <w:vAlign w:val="center"/>
          </w:tcPr>
          <w:p w14:paraId="1C157D4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钻井机×1、静压打桩机×1</w:t>
            </w:r>
          </w:p>
        </w:tc>
      </w:tr>
      <w:tr w14:paraId="6DC0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pct"/>
            <w:shd w:val="clear" w:color="auto" w:fill="auto"/>
            <w:vAlign w:val="center"/>
          </w:tcPr>
          <w:p w14:paraId="32EFA2D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结构安装</w:t>
            </w:r>
          </w:p>
        </w:tc>
        <w:tc>
          <w:tcPr>
            <w:tcW w:w="2877" w:type="pct"/>
            <w:shd w:val="clear" w:color="auto" w:fill="auto"/>
            <w:vAlign w:val="center"/>
          </w:tcPr>
          <w:p w14:paraId="2E46D0A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吊车×2</w:t>
            </w:r>
          </w:p>
        </w:tc>
      </w:tr>
      <w:tr w14:paraId="2BB9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3" w:type="pct"/>
            <w:shd w:val="clear" w:color="auto" w:fill="auto"/>
            <w:vAlign w:val="center"/>
          </w:tcPr>
          <w:p w14:paraId="7F24E7A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地面施工</w:t>
            </w:r>
          </w:p>
        </w:tc>
        <w:tc>
          <w:tcPr>
            <w:tcW w:w="2877" w:type="pct"/>
            <w:shd w:val="clear" w:color="auto" w:fill="auto"/>
            <w:vAlign w:val="center"/>
          </w:tcPr>
          <w:p w14:paraId="45D8DD9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摊铺机×1、压路机×1</w:t>
            </w:r>
          </w:p>
        </w:tc>
      </w:tr>
    </w:tbl>
    <w:p w14:paraId="17A843DD">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4-11</w:t>
      </w:r>
      <w:r>
        <w:rPr>
          <w:rFonts w:hint="default" w:ascii="Times New Roman" w:hAnsi="Times New Roman" w:eastAsia="黑体" w:cs="Times New Roman"/>
          <w:color w:val="auto"/>
          <w:sz w:val="21"/>
          <w:szCs w:val="21"/>
        </w:rPr>
        <w:t>常见施工设备噪声源不同距离声压级</w:t>
      </w:r>
    </w:p>
    <w:tbl>
      <w:tblPr>
        <w:tblStyle w:val="19"/>
        <w:tblW w:w="9728" w:type="dxa"/>
        <w:tblInd w:w="0" w:type="dxa"/>
        <w:tblLayout w:type="fixed"/>
        <w:tblCellMar>
          <w:top w:w="0" w:type="dxa"/>
          <w:left w:w="108" w:type="dxa"/>
          <w:bottom w:w="0" w:type="dxa"/>
          <w:right w:w="108" w:type="dxa"/>
        </w:tblCellMar>
      </w:tblPr>
      <w:tblGrid>
        <w:gridCol w:w="824"/>
        <w:gridCol w:w="847"/>
        <w:gridCol w:w="847"/>
        <w:gridCol w:w="847"/>
        <w:gridCol w:w="847"/>
        <w:gridCol w:w="847"/>
        <w:gridCol w:w="1056"/>
        <w:gridCol w:w="832"/>
        <w:gridCol w:w="900"/>
        <w:gridCol w:w="940"/>
        <w:gridCol w:w="941"/>
      </w:tblGrid>
      <w:tr w14:paraId="1DF5E7BF">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034C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距离（m）</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47DD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风镐</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BB37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装载机</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17FD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推土机</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2A5F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挖掘机</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B69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钻井机</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8C0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静压</w:t>
            </w:r>
          </w:p>
          <w:p w14:paraId="6313C61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打桩机</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8EB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吊车</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CFF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压路机</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BCC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平地机</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BD34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摊铺机</w:t>
            </w:r>
          </w:p>
        </w:tc>
      </w:tr>
      <w:tr w14:paraId="7900A56E">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85BC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5055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90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52D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92</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5F9B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86</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8D13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83</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1E7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DF7D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75</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93AC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0DE7">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85</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203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90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A10B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87</w:t>
            </w:r>
          </w:p>
        </w:tc>
      </w:tr>
      <w:tr w14:paraId="2A8F56B0">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7628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20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885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684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80.0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1A8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74.0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2DC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71.0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A97B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62.0</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A3E0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63.0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BC0B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B1E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73.0</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BB3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78.0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E27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75.0</w:t>
            </w:r>
          </w:p>
        </w:tc>
      </w:tr>
      <w:tr w14:paraId="5CFEB126">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54C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7B5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74.4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582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76.4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2BBC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70.4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47D7">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67.4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FEEE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DE28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59.4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F6A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ACD1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69.4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9D6B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74.4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E5C7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71.4</w:t>
            </w:r>
          </w:p>
        </w:tc>
      </w:tr>
      <w:tr w14:paraId="13298A01">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F02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9B0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71.9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7591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73.9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1BE7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67.9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BA4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64.9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C26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8F0D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034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54D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66.9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860B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71.9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089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68.9</w:t>
            </w:r>
          </w:p>
        </w:tc>
      </w:tr>
      <w:tr w14:paraId="5CD30ADE">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00E5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338D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68.4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2EA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70.4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80E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64.4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365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61.4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8CF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52.4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B66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53.4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070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52.4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46B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63.4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3E1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68.4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18B8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65.4</w:t>
            </w:r>
          </w:p>
        </w:tc>
      </w:tr>
      <w:tr w14:paraId="4550ABD2">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4C96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F5DB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65.9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310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67.9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E2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61.9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BDCA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0E9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49.9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B6E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50.9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CC6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49.9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B86D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60.9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E67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65.9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41C5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62.9</w:t>
            </w:r>
          </w:p>
        </w:tc>
      </w:tr>
      <w:tr w14:paraId="1C7D192F">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C6C2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120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193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62.4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700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64.4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38BD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6B4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ACB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46.4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05A47">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47.4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40F3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46.4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838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57.4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D726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62.4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B11F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59.4</w:t>
            </w:r>
          </w:p>
        </w:tc>
      </w:tr>
      <w:tr w14:paraId="5363395C">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BDB7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140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4C3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61.1</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797F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63.1</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BAD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57.1</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2ECE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54.1</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0EA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45.1</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5D16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46.1</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A4D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45.1</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5EEA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56.1</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02E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61.1</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6C15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58.1</w:t>
            </w:r>
          </w:p>
        </w:tc>
      </w:tr>
      <w:tr w14:paraId="54B9CFB9">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5EB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160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A08E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59.9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E31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61.9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3E5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AC2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52.9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F58F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43.9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5A41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44.9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2F4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43.9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7015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A60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59.9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FD1A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56.9</w:t>
            </w:r>
          </w:p>
        </w:tc>
      </w:tr>
      <w:tr w14:paraId="20759116">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DBE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180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BE64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B08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60.9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9B4C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94E0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51.9</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0F3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42.9</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FB4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43.9</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E3C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42.9</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0F6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53.9</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7CF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58.9</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0EE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55.9</w:t>
            </w:r>
          </w:p>
        </w:tc>
      </w:tr>
      <w:tr w14:paraId="4C021AD8">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BBD8D">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200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ABC7">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DE2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60.0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4C82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34C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51.0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656C4">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42.0</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835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43.0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A1D7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8F99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53.0</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B881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E43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55.0</w:t>
            </w:r>
          </w:p>
        </w:tc>
      </w:tr>
      <w:tr w14:paraId="3829F8DE">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B1C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240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DDD70">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4F4F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58.4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69B6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52.4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5431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49.4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C6C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40.4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E96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41.4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8134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40.4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2BC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51.4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AEA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370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53.4</w:t>
            </w:r>
          </w:p>
        </w:tc>
      </w:tr>
      <w:tr w14:paraId="07EA260A">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1BE3">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280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B8F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C6D5">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57.0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BC3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51.0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2D7F">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48.0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3EB9">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39.0</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1407">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40.0</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1BB1">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39.0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25C9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50.0</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1B66">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55.0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FF79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52.0</w:t>
            </w:r>
          </w:p>
        </w:tc>
      </w:tr>
      <w:tr w14:paraId="6D781FA4">
        <w:tblPrEx>
          <w:tblCellMar>
            <w:top w:w="0" w:type="dxa"/>
            <w:left w:w="108" w:type="dxa"/>
            <w:bottom w:w="0" w:type="dxa"/>
            <w:right w:w="108" w:type="dxa"/>
          </w:tblCellMar>
        </w:tblPrEx>
        <w:trPr>
          <w:trHeight w:val="397" w:hRule="atLeast"/>
        </w:trPr>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FA5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300</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EAC7B">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BDDB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56.4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EEFA">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50.4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0A33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47.4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2703C">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38.4</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A64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39.4</w:t>
            </w:r>
          </w:p>
        </w:tc>
        <w:tc>
          <w:tcPr>
            <w:tcW w:w="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F4FE">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38.4</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902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49.4</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45CB8">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54.4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B5B2">
            <w:pPr>
              <w:spacing w:line="360" w:lineRule="exact"/>
              <w:ind w:firstLine="0" w:firstLineChars="0"/>
              <w:jc w:val="center"/>
              <w:rPr>
                <w:rFonts w:hint="default" w:ascii="Times New Roman" w:hAnsi="Times New Roman" w:cs="Times New Roman"/>
                <w:color w:val="auto"/>
                <w:sz w:val="22"/>
                <w:szCs w:val="21"/>
              </w:rPr>
            </w:pPr>
            <w:r>
              <w:rPr>
                <w:rFonts w:hint="default" w:ascii="Times New Roman" w:hAnsi="Times New Roman" w:cs="Times New Roman"/>
                <w:color w:val="auto"/>
                <w:sz w:val="22"/>
                <w:szCs w:val="21"/>
              </w:rPr>
              <w:t>51.4</w:t>
            </w:r>
          </w:p>
        </w:tc>
      </w:tr>
    </w:tbl>
    <w:p w14:paraId="3462B656">
      <w:pPr>
        <w:spacing w:line="360" w:lineRule="exact"/>
        <w:ind w:firstLine="0" w:firstLineChars="0"/>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注：5m处的噪声级为实测值</w:t>
      </w:r>
    </w:p>
    <w:p w14:paraId="49F9E07A">
      <w:pPr>
        <w:ind w:firstLine="640"/>
        <w:rPr>
          <w:rFonts w:hint="default" w:ascii="Times New Roman" w:hAnsi="Times New Roman" w:cs="Times New Roman"/>
          <w:color w:val="auto"/>
        </w:rPr>
      </w:pPr>
      <w:r>
        <w:rPr>
          <w:rFonts w:hint="default" w:ascii="Times New Roman" w:hAnsi="Times New Roman" w:cs="Times New Roman"/>
          <w:color w:val="auto"/>
        </w:rPr>
        <w:t>根据表</w:t>
      </w:r>
      <w:r>
        <w:rPr>
          <w:rFonts w:hint="eastAsia" w:cs="Times New Roman"/>
          <w:color w:val="auto"/>
          <w:lang w:val="en-US" w:eastAsia="zh-CN"/>
        </w:rPr>
        <w:t>4-10</w:t>
      </w:r>
      <w:r>
        <w:rPr>
          <w:rFonts w:hint="default" w:ascii="Times New Roman" w:hAnsi="Times New Roman" w:cs="Times New Roman"/>
          <w:color w:val="auto"/>
        </w:rPr>
        <w:t>所述各施工阶段的施工机械组合，不同施工阶段的预测声级见表</w:t>
      </w:r>
      <w:r>
        <w:rPr>
          <w:rFonts w:hint="eastAsia" w:cs="Times New Roman"/>
          <w:color w:val="auto"/>
          <w:lang w:val="en-US" w:eastAsia="zh-CN"/>
        </w:rPr>
        <w:t>4-12</w:t>
      </w:r>
      <w:r>
        <w:rPr>
          <w:rFonts w:hint="default" w:ascii="Times New Roman" w:hAnsi="Times New Roman" w:cs="Times New Roman"/>
          <w:color w:val="auto"/>
        </w:rPr>
        <w:t>。</w:t>
      </w:r>
    </w:p>
    <w:p w14:paraId="12257CFE">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ascii="Times New Roman" w:hAnsi="Times New Roman" w:eastAsia="黑体" w:cs="Times New Roman"/>
          <w:color w:val="auto"/>
          <w:sz w:val="21"/>
          <w:szCs w:val="21"/>
          <w:lang w:val="en-US" w:eastAsia="zh-CN"/>
        </w:rPr>
        <w:t>4-12</w:t>
      </w:r>
      <w:r>
        <w:rPr>
          <w:rFonts w:hint="default" w:ascii="Times New Roman" w:hAnsi="Times New Roman" w:eastAsia="黑体" w:cs="Times New Roman"/>
          <w:color w:val="auto"/>
          <w:sz w:val="21"/>
          <w:szCs w:val="21"/>
        </w:rPr>
        <w:t>不同施工阶段的预测声级单位：dB(A)</w:t>
      </w:r>
    </w:p>
    <w:tbl>
      <w:tblPr>
        <w:tblStyle w:val="19"/>
        <w:tblW w:w="49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1555"/>
        <w:gridCol w:w="1758"/>
        <w:gridCol w:w="1512"/>
        <w:gridCol w:w="1470"/>
        <w:gridCol w:w="1545"/>
      </w:tblGrid>
      <w:tr w14:paraId="57C6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14" w:type="pct"/>
            <w:shd w:val="clear" w:color="auto" w:fill="auto"/>
            <w:vAlign w:val="center"/>
          </w:tcPr>
          <w:p w14:paraId="4338D97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与施工区域中心的典型距离（m）</w:t>
            </w:r>
          </w:p>
        </w:tc>
        <w:tc>
          <w:tcPr>
            <w:tcW w:w="790" w:type="pct"/>
            <w:shd w:val="clear" w:color="auto" w:fill="auto"/>
            <w:vAlign w:val="center"/>
          </w:tcPr>
          <w:p w14:paraId="76FC799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拆迁工程</w:t>
            </w:r>
          </w:p>
        </w:tc>
        <w:tc>
          <w:tcPr>
            <w:tcW w:w="893" w:type="pct"/>
            <w:shd w:val="clear" w:color="auto" w:fill="auto"/>
            <w:vAlign w:val="center"/>
          </w:tcPr>
          <w:p w14:paraId="4ED2306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地基填挖</w:t>
            </w:r>
          </w:p>
        </w:tc>
        <w:tc>
          <w:tcPr>
            <w:tcW w:w="768" w:type="pct"/>
            <w:shd w:val="clear" w:color="auto" w:fill="auto"/>
            <w:vAlign w:val="center"/>
          </w:tcPr>
          <w:p w14:paraId="709804C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桩基施工</w:t>
            </w:r>
          </w:p>
        </w:tc>
        <w:tc>
          <w:tcPr>
            <w:tcW w:w="747" w:type="pct"/>
            <w:shd w:val="clear" w:color="auto" w:fill="auto"/>
            <w:vAlign w:val="center"/>
          </w:tcPr>
          <w:p w14:paraId="12FC684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结构安装</w:t>
            </w:r>
          </w:p>
        </w:tc>
        <w:tc>
          <w:tcPr>
            <w:tcW w:w="785" w:type="pct"/>
            <w:shd w:val="clear" w:color="auto" w:fill="auto"/>
            <w:vAlign w:val="center"/>
          </w:tcPr>
          <w:p w14:paraId="7839ADA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地面施工</w:t>
            </w:r>
          </w:p>
        </w:tc>
      </w:tr>
      <w:tr w14:paraId="3DF9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06D8F37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20</w:t>
            </w:r>
          </w:p>
        </w:tc>
        <w:tc>
          <w:tcPr>
            <w:tcW w:w="790" w:type="pct"/>
            <w:shd w:val="clear" w:color="auto" w:fill="auto"/>
            <w:vAlign w:val="center"/>
          </w:tcPr>
          <w:p w14:paraId="4C00C0F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78.8</w:t>
            </w:r>
          </w:p>
        </w:tc>
        <w:tc>
          <w:tcPr>
            <w:tcW w:w="893" w:type="pct"/>
            <w:shd w:val="clear" w:color="auto" w:fill="auto"/>
            <w:vAlign w:val="center"/>
          </w:tcPr>
          <w:p w14:paraId="53F6DDE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75.8</w:t>
            </w:r>
          </w:p>
        </w:tc>
        <w:tc>
          <w:tcPr>
            <w:tcW w:w="768" w:type="pct"/>
            <w:shd w:val="clear" w:color="auto" w:fill="auto"/>
            <w:vAlign w:val="center"/>
          </w:tcPr>
          <w:p w14:paraId="40ABC68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65.5</w:t>
            </w:r>
          </w:p>
        </w:tc>
        <w:tc>
          <w:tcPr>
            <w:tcW w:w="747" w:type="pct"/>
            <w:shd w:val="clear" w:color="auto" w:fill="auto"/>
            <w:vAlign w:val="center"/>
          </w:tcPr>
          <w:p w14:paraId="18EBFA3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65.0</w:t>
            </w:r>
          </w:p>
        </w:tc>
        <w:tc>
          <w:tcPr>
            <w:tcW w:w="785" w:type="pct"/>
            <w:shd w:val="clear" w:color="auto" w:fill="auto"/>
            <w:vAlign w:val="center"/>
          </w:tcPr>
          <w:p w14:paraId="2FE9F8C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77.1</w:t>
            </w:r>
          </w:p>
        </w:tc>
      </w:tr>
      <w:tr w14:paraId="56AF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2EBB827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w:t>
            </w:r>
          </w:p>
        </w:tc>
        <w:tc>
          <w:tcPr>
            <w:tcW w:w="790" w:type="pct"/>
            <w:shd w:val="clear" w:color="auto" w:fill="auto"/>
            <w:vAlign w:val="center"/>
          </w:tcPr>
          <w:p w14:paraId="6A8A006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75.2</w:t>
            </w:r>
          </w:p>
        </w:tc>
        <w:tc>
          <w:tcPr>
            <w:tcW w:w="893" w:type="pct"/>
            <w:shd w:val="clear" w:color="auto" w:fill="auto"/>
            <w:vAlign w:val="center"/>
          </w:tcPr>
          <w:p w14:paraId="4B3E471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72.2</w:t>
            </w:r>
          </w:p>
        </w:tc>
        <w:tc>
          <w:tcPr>
            <w:tcW w:w="768" w:type="pct"/>
            <w:shd w:val="clear" w:color="auto" w:fill="auto"/>
            <w:vAlign w:val="center"/>
          </w:tcPr>
          <w:p w14:paraId="2F39DE6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61.9</w:t>
            </w:r>
          </w:p>
        </w:tc>
        <w:tc>
          <w:tcPr>
            <w:tcW w:w="747" w:type="pct"/>
            <w:shd w:val="clear" w:color="auto" w:fill="auto"/>
            <w:vAlign w:val="center"/>
          </w:tcPr>
          <w:p w14:paraId="5A15CCD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61.4</w:t>
            </w:r>
          </w:p>
        </w:tc>
        <w:tc>
          <w:tcPr>
            <w:tcW w:w="785" w:type="pct"/>
            <w:shd w:val="clear" w:color="auto" w:fill="auto"/>
            <w:vAlign w:val="center"/>
          </w:tcPr>
          <w:p w14:paraId="1161240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73.5</w:t>
            </w:r>
          </w:p>
        </w:tc>
      </w:tr>
      <w:tr w14:paraId="2DAE9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1D18AAD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w:t>
            </w:r>
          </w:p>
        </w:tc>
        <w:tc>
          <w:tcPr>
            <w:tcW w:w="790" w:type="pct"/>
            <w:shd w:val="clear" w:color="auto" w:fill="auto"/>
            <w:vAlign w:val="center"/>
          </w:tcPr>
          <w:p w14:paraId="565E0B3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72.7</w:t>
            </w:r>
          </w:p>
        </w:tc>
        <w:tc>
          <w:tcPr>
            <w:tcW w:w="893" w:type="pct"/>
            <w:shd w:val="clear" w:color="auto" w:fill="auto"/>
            <w:vAlign w:val="center"/>
          </w:tcPr>
          <w:p w14:paraId="70E0F70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69.7</w:t>
            </w:r>
          </w:p>
        </w:tc>
        <w:tc>
          <w:tcPr>
            <w:tcW w:w="768" w:type="pct"/>
            <w:shd w:val="clear" w:color="auto" w:fill="auto"/>
            <w:vAlign w:val="center"/>
          </w:tcPr>
          <w:p w14:paraId="01727EC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59.4</w:t>
            </w:r>
          </w:p>
        </w:tc>
        <w:tc>
          <w:tcPr>
            <w:tcW w:w="747" w:type="pct"/>
            <w:shd w:val="clear" w:color="auto" w:fill="auto"/>
            <w:vAlign w:val="center"/>
          </w:tcPr>
          <w:p w14:paraId="2077204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58.9</w:t>
            </w:r>
          </w:p>
        </w:tc>
        <w:tc>
          <w:tcPr>
            <w:tcW w:w="785" w:type="pct"/>
            <w:shd w:val="clear" w:color="auto" w:fill="auto"/>
            <w:vAlign w:val="center"/>
          </w:tcPr>
          <w:p w14:paraId="151DA77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71.0</w:t>
            </w:r>
          </w:p>
        </w:tc>
      </w:tr>
      <w:tr w14:paraId="37EF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1E2F59A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60</w:t>
            </w:r>
          </w:p>
        </w:tc>
        <w:tc>
          <w:tcPr>
            <w:tcW w:w="790" w:type="pct"/>
            <w:shd w:val="clear" w:color="auto" w:fill="auto"/>
            <w:vAlign w:val="center"/>
          </w:tcPr>
          <w:p w14:paraId="198ECE3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69.2</w:t>
            </w:r>
          </w:p>
        </w:tc>
        <w:tc>
          <w:tcPr>
            <w:tcW w:w="893" w:type="pct"/>
            <w:shd w:val="clear" w:color="auto" w:fill="auto"/>
            <w:vAlign w:val="center"/>
          </w:tcPr>
          <w:p w14:paraId="168A102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66.2</w:t>
            </w:r>
          </w:p>
        </w:tc>
        <w:tc>
          <w:tcPr>
            <w:tcW w:w="768" w:type="pct"/>
            <w:shd w:val="clear" w:color="auto" w:fill="auto"/>
            <w:vAlign w:val="center"/>
          </w:tcPr>
          <w:p w14:paraId="499B57A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55.9</w:t>
            </w:r>
          </w:p>
        </w:tc>
        <w:tc>
          <w:tcPr>
            <w:tcW w:w="747" w:type="pct"/>
            <w:shd w:val="clear" w:color="auto" w:fill="auto"/>
            <w:vAlign w:val="center"/>
          </w:tcPr>
          <w:p w14:paraId="677EF7A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55.4</w:t>
            </w:r>
          </w:p>
        </w:tc>
        <w:tc>
          <w:tcPr>
            <w:tcW w:w="785" w:type="pct"/>
            <w:shd w:val="clear" w:color="auto" w:fill="auto"/>
            <w:vAlign w:val="center"/>
          </w:tcPr>
          <w:p w14:paraId="0CEE95A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67.5</w:t>
            </w:r>
          </w:p>
        </w:tc>
      </w:tr>
      <w:tr w14:paraId="747E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7072F81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80</w:t>
            </w:r>
          </w:p>
        </w:tc>
        <w:tc>
          <w:tcPr>
            <w:tcW w:w="790" w:type="pct"/>
            <w:shd w:val="clear" w:color="auto" w:fill="auto"/>
            <w:vAlign w:val="center"/>
          </w:tcPr>
          <w:p w14:paraId="05A3E07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66.7</w:t>
            </w:r>
          </w:p>
        </w:tc>
        <w:tc>
          <w:tcPr>
            <w:tcW w:w="893" w:type="pct"/>
            <w:shd w:val="clear" w:color="auto" w:fill="auto"/>
            <w:vAlign w:val="center"/>
          </w:tcPr>
          <w:p w14:paraId="7AE7474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63.7</w:t>
            </w:r>
          </w:p>
        </w:tc>
        <w:tc>
          <w:tcPr>
            <w:tcW w:w="768" w:type="pct"/>
            <w:shd w:val="clear" w:color="auto" w:fill="auto"/>
            <w:vAlign w:val="center"/>
          </w:tcPr>
          <w:p w14:paraId="15A5D63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53.4</w:t>
            </w:r>
          </w:p>
        </w:tc>
        <w:tc>
          <w:tcPr>
            <w:tcW w:w="747" w:type="pct"/>
            <w:shd w:val="clear" w:color="auto" w:fill="auto"/>
            <w:vAlign w:val="center"/>
          </w:tcPr>
          <w:p w14:paraId="1617E60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52.9</w:t>
            </w:r>
          </w:p>
        </w:tc>
        <w:tc>
          <w:tcPr>
            <w:tcW w:w="785" w:type="pct"/>
            <w:shd w:val="clear" w:color="auto" w:fill="auto"/>
            <w:vAlign w:val="center"/>
          </w:tcPr>
          <w:p w14:paraId="2DDF8F0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65.0</w:t>
            </w:r>
          </w:p>
        </w:tc>
      </w:tr>
      <w:tr w14:paraId="2FB0F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402A248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120</w:t>
            </w:r>
          </w:p>
        </w:tc>
        <w:tc>
          <w:tcPr>
            <w:tcW w:w="790" w:type="pct"/>
            <w:shd w:val="clear" w:color="auto" w:fill="auto"/>
            <w:vAlign w:val="center"/>
          </w:tcPr>
          <w:p w14:paraId="2BC714D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63.2</w:t>
            </w:r>
          </w:p>
        </w:tc>
        <w:tc>
          <w:tcPr>
            <w:tcW w:w="893" w:type="pct"/>
            <w:shd w:val="clear" w:color="auto" w:fill="auto"/>
            <w:vAlign w:val="center"/>
          </w:tcPr>
          <w:p w14:paraId="0F77943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60.2</w:t>
            </w:r>
          </w:p>
        </w:tc>
        <w:tc>
          <w:tcPr>
            <w:tcW w:w="768" w:type="pct"/>
            <w:shd w:val="clear" w:color="auto" w:fill="auto"/>
            <w:vAlign w:val="center"/>
          </w:tcPr>
          <w:p w14:paraId="797DAB1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49.9</w:t>
            </w:r>
          </w:p>
        </w:tc>
        <w:tc>
          <w:tcPr>
            <w:tcW w:w="747" w:type="pct"/>
            <w:shd w:val="clear" w:color="auto" w:fill="auto"/>
            <w:vAlign w:val="center"/>
          </w:tcPr>
          <w:p w14:paraId="651A6D0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49.4</w:t>
            </w:r>
          </w:p>
        </w:tc>
        <w:tc>
          <w:tcPr>
            <w:tcW w:w="785" w:type="pct"/>
            <w:shd w:val="clear" w:color="auto" w:fill="auto"/>
            <w:vAlign w:val="center"/>
          </w:tcPr>
          <w:p w14:paraId="41D551D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61.5</w:t>
            </w:r>
          </w:p>
        </w:tc>
      </w:tr>
      <w:tr w14:paraId="433A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32636D4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140</w:t>
            </w:r>
          </w:p>
        </w:tc>
        <w:tc>
          <w:tcPr>
            <w:tcW w:w="790" w:type="pct"/>
            <w:shd w:val="clear" w:color="auto" w:fill="auto"/>
            <w:vAlign w:val="center"/>
          </w:tcPr>
          <w:p w14:paraId="2B64CD3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61.9</w:t>
            </w:r>
          </w:p>
        </w:tc>
        <w:tc>
          <w:tcPr>
            <w:tcW w:w="893" w:type="pct"/>
            <w:shd w:val="clear" w:color="auto" w:fill="auto"/>
            <w:vAlign w:val="center"/>
          </w:tcPr>
          <w:p w14:paraId="55223B5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58.9</w:t>
            </w:r>
          </w:p>
        </w:tc>
        <w:tc>
          <w:tcPr>
            <w:tcW w:w="768" w:type="pct"/>
            <w:shd w:val="clear" w:color="auto" w:fill="auto"/>
            <w:vAlign w:val="center"/>
          </w:tcPr>
          <w:p w14:paraId="1D4BF39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48.6</w:t>
            </w:r>
          </w:p>
        </w:tc>
        <w:tc>
          <w:tcPr>
            <w:tcW w:w="747" w:type="pct"/>
            <w:shd w:val="clear" w:color="auto" w:fill="auto"/>
            <w:vAlign w:val="center"/>
          </w:tcPr>
          <w:p w14:paraId="05CDBAE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48.1</w:t>
            </w:r>
          </w:p>
        </w:tc>
        <w:tc>
          <w:tcPr>
            <w:tcW w:w="785" w:type="pct"/>
            <w:shd w:val="clear" w:color="auto" w:fill="auto"/>
            <w:vAlign w:val="center"/>
          </w:tcPr>
          <w:p w14:paraId="40882D3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60.2</w:t>
            </w:r>
          </w:p>
        </w:tc>
      </w:tr>
      <w:tr w14:paraId="31EB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41B0167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160</w:t>
            </w:r>
          </w:p>
        </w:tc>
        <w:tc>
          <w:tcPr>
            <w:tcW w:w="790" w:type="pct"/>
            <w:shd w:val="clear" w:color="auto" w:fill="auto"/>
            <w:vAlign w:val="center"/>
          </w:tcPr>
          <w:p w14:paraId="1B5B2C4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60.7</w:t>
            </w:r>
          </w:p>
        </w:tc>
        <w:tc>
          <w:tcPr>
            <w:tcW w:w="893" w:type="pct"/>
            <w:shd w:val="clear" w:color="auto" w:fill="auto"/>
            <w:vAlign w:val="center"/>
          </w:tcPr>
          <w:p w14:paraId="13BF419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57.7</w:t>
            </w:r>
          </w:p>
        </w:tc>
        <w:tc>
          <w:tcPr>
            <w:tcW w:w="768" w:type="pct"/>
            <w:shd w:val="clear" w:color="auto" w:fill="auto"/>
            <w:vAlign w:val="center"/>
          </w:tcPr>
          <w:p w14:paraId="2B45145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47.4</w:t>
            </w:r>
          </w:p>
        </w:tc>
        <w:tc>
          <w:tcPr>
            <w:tcW w:w="747" w:type="pct"/>
            <w:shd w:val="clear" w:color="auto" w:fill="auto"/>
            <w:vAlign w:val="center"/>
          </w:tcPr>
          <w:p w14:paraId="142AA54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46.9</w:t>
            </w:r>
          </w:p>
        </w:tc>
        <w:tc>
          <w:tcPr>
            <w:tcW w:w="785" w:type="pct"/>
            <w:shd w:val="clear" w:color="auto" w:fill="auto"/>
            <w:vAlign w:val="center"/>
          </w:tcPr>
          <w:p w14:paraId="431258F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59.0</w:t>
            </w:r>
          </w:p>
        </w:tc>
      </w:tr>
      <w:tr w14:paraId="661A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2649154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180</w:t>
            </w:r>
          </w:p>
        </w:tc>
        <w:tc>
          <w:tcPr>
            <w:tcW w:w="790" w:type="pct"/>
            <w:shd w:val="clear" w:color="auto" w:fill="auto"/>
            <w:vAlign w:val="center"/>
          </w:tcPr>
          <w:p w14:paraId="5CC1E54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59.7</w:t>
            </w:r>
          </w:p>
        </w:tc>
        <w:tc>
          <w:tcPr>
            <w:tcW w:w="893" w:type="pct"/>
            <w:shd w:val="clear" w:color="auto" w:fill="auto"/>
            <w:vAlign w:val="center"/>
          </w:tcPr>
          <w:p w14:paraId="1587017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56.7</w:t>
            </w:r>
          </w:p>
        </w:tc>
        <w:tc>
          <w:tcPr>
            <w:tcW w:w="768" w:type="pct"/>
            <w:shd w:val="clear" w:color="auto" w:fill="auto"/>
            <w:vAlign w:val="center"/>
          </w:tcPr>
          <w:p w14:paraId="774FC5B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46.4</w:t>
            </w:r>
          </w:p>
        </w:tc>
        <w:tc>
          <w:tcPr>
            <w:tcW w:w="747" w:type="pct"/>
            <w:shd w:val="clear" w:color="auto" w:fill="auto"/>
            <w:vAlign w:val="center"/>
          </w:tcPr>
          <w:p w14:paraId="4A60B9A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45.9</w:t>
            </w:r>
          </w:p>
        </w:tc>
        <w:tc>
          <w:tcPr>
            <w:tcW w:w="785" w:type="pct"/>
            <w:shd w:val="clear" w:color="auto" w:fill="auto"/>
            <w:vAlign w:val="center"/>
          </w:tcPr>
          <w:p w14:paraId="7BBEE9B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58.0</w:t>
            </w:r>
          </w:p>
        </w:tc>
      </w:tr>
      <w:tr w14:paraId="15CC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noWrap/>
            <w:vAlign w:val="center"/>
          </w:tcPr>
          <w:p w14:paraId="1719D9F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200</w:t>
            </w:r>
          </w:p>
        </w:tc>
        <w:tc>
          <w:tcPr>
            <w:tcW w:w="790" w:type="pct"/>
            <w:shd w:val="clear" w:color="auto" w:fill="auto"/>
            <w:vAlign w:val="center"/>
          </w:tcPr>
          <w:p w14:paraId="55CB007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58.8</w:t>
            </w:r>
          </w:p>
        </w:tc>
        <w:tc>
          <w:tcPr>
            <w:tcW w:w="893" w:type="pct"/>
            <w:shd w:val="clear" w:color="auto" w:fill="auto"/>
            <w:vAlign w:val="center"/>
          </w:tcPr>
          <w:p w14:paraId="67DDB01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55.8</w:t>
            </w:r>
          </w:p>
        </w:tc>
        <w:tc>
          <w:tcPr>
            <w:tcW w:w="768" w:type="pct"/>
            <w:shd w:val="clear" w:color="auto" w:fill="auto"/>
            <w:vAlign w:val="center"/>
          </w:tcPr>
          <w:p w14:paraId="3EBA556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45.5</w:t>
            </w:r>
          </w:p>
        </w:tc>
        <w:tc>
          <w:tcPr>
            <w:tcW w:w="747" w:type="pct"/>
            <w:shd w:val="clear" w:color="auto" w:fill="auto"/>
            <w:vAlign w:val="center"/>
          </w:tcPr>
          <w:p w14:paraId="0D6B167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45.0</w:t>
            </w:r>
          </w:p>
        </w:tc>
        <w:tc>
          <w:tcPr>
            <w:tcW w:w="785" w:type="pct"/>
            <w:shd w:val="clear" w:color="auto" w:fill="auto"/>
            <w:vAlign w:val="center"/>
          </w:tcPr>
          <w:p w14:paraId="604A19C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57.1</w:t>
            </w:r>
          </w:p>
        </w:tc>
      </w:tr>
      <w:tr w14:paraId="1CCC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57FBE95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240</w:t>
            </w:r>
          </w:p>
        </w:tc>
        <w:tc>
          <w:tcPr>
            <w:tcW w:w="790" w:type="pct"/>
            <w:shd w:val="clear" w:color="auto" w:fill="auto"/>
            <w:vAlign w:val="center"/>
          </w:tcPr>
          <w:p w14:paraId="7634432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57.2</w:t>
            </w:r>
          </w:p>
        </w:tc>
        <w:tc>
          <w:tcPr>
            <w:tcW w:w="893" w:type="pct"/>
            <w:shd w:val="clear" w:color="auto" w:fill="auto"/>
            <w:vAlign w:val="center"/>
          </w:tcPr>
          <w:p w14:paraId="4E018CC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54.2</w:t>
            </w:r>
          </w:p>
        </w:tc>
        <w:tc>
          <w:tcPr>
            <w:tcW w:w="768" w:type="pct"/>
            <w:shd w:val="clear" w:color="auto" w:fill="auto"/>
            <w:vAlign w:val="center"/>
          </w:tcPr>
          <w:p w14:paraId="2C83A01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43.9</w:t>
            </w:r>
          </w:p>
        </w:tc>
        <w:tc>
          <w:tcPr>
            <w:tcW w:w="747" w:type="pct"/>
            <w:shd w:val="clear" w:color="auto" w:fill="auto"/>
            <w:vAlign w:val="center"/>
          </w:tcPr>
          <w:p w14:paraId="50A06ED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43.4</w:t>
            </w:r>
          </w:p>
        </w:tc>
        <w:tc>
          <w:tcPr>
            <w:tcW w:w="785" w:type="pct"/>
            <w:shd w:val="clear" w:color="auto" w:fill="auto"/>
            <w:vAlign w:val="center"/>
          </w:tcPr>
          <w:p w14:paraId="35C9E11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55.5</w:t>
            </w:r>
          </w:p>
        </w:tc>
      </w:tr>
      <w:tr w14:paraId="4A32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7C322B0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280</w:t>
            </w:r>
          </w:p>
        </w:tc>
        <w:tc>
          <w:tcPr>
            <w:tcW w:w="790" w:type="pct"/>
            <w:shd w:val="clear" w:color="auto" w:fill="auto"/>
            <w:vAlign w:val="center"/>
          </w:tcPr>
          <w:p w14:paraId="2BA95EF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55.8</w:t>
            </w:r>
          </w:p>
        </w:tc>
        <w:tc>
          <w:tcPr>
            <w:tcW w:w="893" w:type="pct"/>
            <w:shd w:val="clear" w:color="auto" w:fill="auto"/>
            <w:vAlign w:val="center"/>
          </w:tcPr>
          <w:p w14:paraId="1BAC34C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52.8</w:t>
            </w:r>
          </w:p>
        </w:tc>
        <w:tc>
          <w:tcPr>
            <w:tcW w:w="768" w:type="pct"/>
            <w:shd w:val="clear" w:color="auto" w:fill="auto"/>
            <w:vAlign w:val="center"/>
          </w:tcPr>
          <w:p w14:paraId="38712EA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42.5</w:t>
            </w:r>
          </w:p>
        </w:tc>
        <w:tc>
          <w:tcPr>
            <w:tcW w:w="747" w:type="pct"/>
            <w:shd w:val="clear" w:color="auto" w:fill="auto"/>
            <w:vAlign w:val="center"/>
          </w:tcPr>
          <w:p w14:paraId="6917824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42.0</w:t>
            </w:r>
          </w:p>
        </w:tc>
        <w:tc>
          <w:tcPr>
            <w:tcW w:w="785" w:type="pct"/>
            <w:shd w:val="clear" w:color="auto" w:fill="auto"/>
            <w:vAlign w:val="center"/>
          </w:tcPr>
          <w:p w14:paraId="45EDADD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54.1</w:t>
            </w:r>
          </w:p>
        </w:tc>
      </w:tr>
      <w:tr w14:paraId="7FE5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7BE2256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320</w:t>
            </w:r>
          </w:p>
        </w:tc>
        <w:tc>
          <w:tcPr>
            <w:tcW w:w="790" w:type="pct"/>
            <w:shd w:val="clear" w:color="auto" w:fill="auto"/>
            <w:vAlign w:val="center"/>
          </w:tcPr>
          <w:p w14:paraId="2DC1573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54.7</w:t>
            </w:r>
          </w:p>
        </w:tc>
        <w:tc>
          <w:tcPr>
            <w:tcW w:w="893" w:type="pct"/>
            <w:shd w:val="clear" w:color="auto" w:fill="auto"/>
            <w:vAlign w:val="center"/>
          </w:tcPr>
          <w:p w14:paraId="6D3B32B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51.7</w:t>
            </w:r>
          </w:p>
        </w:tc>
        <w:tc>
          <w:tcPr>
            <w:tcW w:w="768" w:type="pct"/>
            <w:shd w:val="clear" w:color="auto" w:fill="auto"/>
            <w:vAlign w:val="center"/>
          </w:tcPr>
          <w:p w14:paraId="1314911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41.4</w:t>
            </w:r>
          </w:p>
        </w:tc>
        <w:tc>
          <w:tcPr>
            <w:tcW w:w="747" w:type="pct"/>
            <w:shd w:val="clear" w:color="auto" w:fill="auto"/>
            <w:vAlign w:val="center"/>
          </w:tcPr>
          <w:p w14:paraId="170FACB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40.9</w:t>
            </w:r>
          </w:p>
        </w:tc>
        <w:tc>
          <w:tcPr>
            <w:tcW w:w="785" w:type="pct"/>
            <w:shd w:val="clear" w:color="auto" w:fill="auto"/>
            <w:vAlign w:val="center"/>
          </w:tcPr>
          <w:p w14:paraId="4F620EF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53.0</w:t>
            </w:r>
          </w:p>
        </w:tc>
      </w:tr>
      <w:tr w14:paraId="34D01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169BCF6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360</w:t>
            </w:r>
          </w:p>
        </w:tc>
        <w:tc>
          <w:tcPr>
            <w:tcW w:w="790" w:type="pct"/>
            <w:shd w:val="clear" w:color="auto" w:fill="auto"/>
            <w:vAlign w:val="center"/>
          </w:tcPr>
          <w:p w14:paraId="727096A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53.7</w:t>
            </w:r>
          </w:p>
        </w:tc>
        <w:tc>
          <w:tcPr>
            <w:tcW w:w="893" w:type="pct"/>
            <w:shd w:val="clear" w:color="auto" w:fill="auto"/>
            <w:vAlign w:val="center"/>
          </w:tcPr>
          <w:p w14:paraId="644F942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50.7</w:t>
            </w:r>
          </w:p>
        </w:tc>
        <w:tc>
          <w:tcPr>
            <w:tcW w:w="768" w:type="pct"/>
            <w:shd w:val="clear" w:color="auto" w:fill="auto"/>
            <w:vAlign w:val="center"/>
          </w:tcPr>
          <w:p w14:paraId="5BF2705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40.4</w:t>
            </w:r>
          </w:p>
        </w:tc>
        <w:tc>
          <w:tcPr>
            <w:tcW w:w="747" w:type="pct"/>
            <w:shd w:val="clear" w:color="auto" w:fill="auto"/>
            <w:vAlign w:val="center"/>
          </w:tcPr>
          <w:p w14:paraId="7ECD400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39.9</w:t>
            </w:r>
          </w:p>
        </w:tc>
        <w:tc>
          <w:tcPr>
            <w:tcW w:w="785" w:type="pct"/>
            <w:shd w:val="clear" w:color="auto" w:fill="auto"/>
            <w:vAlign w:val="center"/>
          </w:tcPr>
          <w:p w14:paraId="231D444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52.0</w:t>
            </w:r>
          </w:p>
        </w:tc>
      </w:tr>
      <w:tr w14:paraId="2CA1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2DDB8FA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400</w:t>
            </w:r>
          </w:p>
        </w:tc>
        <w:tc>
          <w:tcPr>
            <w:tcW w:w="790" w:type="pct"/>
            <w:shd w:val="clear" w:color="auto" w:fill="auto"/>
            <w:vAlign w:val="center"/>
          </w:tcPr>
          <w:p w14:paraId="5B23717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52.7</w:t>
            </w:r>
          </w:p>
        </w:tc>
        <w:tc>
          <w:tcPr>
            <w:tcW w:w="893" w:type="pct"/>
            <w:shd w:val="clear" w:color="auto" w:fill="auto"/>
            <w:vAlign w:val="center"/>
          </w:tcPr>
          <w:p w14:paraId="79C4634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49.7</w:t>
            </w:r>
          </w:p>
        </w:tc>
        <w:tc>
          <w:tcPr>
            <w:tcW w:w="768" w:type="pct"/>
            <w:shd w:val="clear" w:color="auto" w:fill="auto"/>
            <w:vAlign w:val="center"/>
          </w:tcPr>
          <w:p w14:paraId="7E21897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39.4</w:t>
            </w:r>
          </w:p>
        </w:tc>
        <w:tc>
          <w:tcPr>
            <w:tcW w:w="747" w:type="pct"/>
            <w:shd w:val="clear" w:color="auto" w:fill="auto"/>
            <w:vAlign w:val="center"/>
          </w:tcPr>
          <w:p w14:paraId="67A358A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38.9</w:t>
            </w:r>
          </w:p>
        </w:tc>
        <w:tc>
          <w:tcPr>
            <w:tcW w:w="785" w:type="pct"/>
            <w:shd w:val="clear" w:color="auto" w:fill="auto"/>
            <w:vAlign w:val="center"/>
          </w:tcPr>
          <w:p w14:paraId="008C97A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51.0</w:t>
            </w:r>
          </w:p>
        </w:tc>
      </w:tr>
      <w:tr w14:paraId="1C3D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490E4FA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440</w:t>
            </w:r>
          </w:p>
        </w:tc>
        <w:tc>
          <w:tcPr>
            <w:tcW w:w="790" w:type="pct"/>
            <w:shd w:val="clear" w:color="auto" w:fill="auto"/>
            <w:vAlign w:val="center"/>
          </w:tcPr>
          <w:p w14:paraId="4511C20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51.9</w:t>
            </w:r>
          </w:p>
        </w:tc>
        <w:tc>
          <w:tcPr>
            <w:tcW w:w="893" w:type="pct"/>
            <w:shd w:val="clear" w:color="auto" w:fill="auto"/>
            <w:vAlign w:val="center"/>
          </w:tcPr>
          <w:p w14:paraId="554E0D6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48.9</w:t>
            </w:r>
          </w:p>
        </w:tc>
        <w:tc>
          <w:tcPr>
            <w:tcW w:w="768" w:type="pct"/>
            <w:shd w:val="clear" w:color="auto" w:fill="auto"/>
            <w:vAlign w:val="center"/>
          </w:tcPr>
          <w:p w14:paraId="2E6496A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38.6</w:t>
            </w:r>
          </w:p>
        </w:tc>
        <w:tc>
          <w:tcPr>
            <w:tcW w:w="747" w:type="pct"/>
            <w:shd w:val="clear" w:color="auto" w:fill="auto"/>
            <w:vAlign w:val="center"/>
          </w:tcPr>
          <w:p w14:paraId="63F4A95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38.1</w:t>
            </w:r>
          </w:p>
        </w:tc>
        <w:tc>
          <w:tcPr>
            <w:tcW w:w="785" w:type="pct"/>
            <w:shd w:val="clear" w:color="auto" w:fill="auto"/>
            <w:vAlign w:val="center"/>
          </w:tcPr>
          <w:p w14:paraId="3C1211B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50.2</w:t>
            </w:r>
          </w:p>
        </w:tc>
      </w:tr>
      <w:tr w14:paraId="6661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0FBB9EB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480</w:t>
            </w:r>
          </w:p>
        </w:tc>
        <w:tc>
          <w:tcPr>
            <w:tcW w:w="790" w:type="pct"/>
            <w:shd w:val="clear" w:color="auto" w:fill="auto"/>
            <w:vAlign w:val="center"/>
          </w:tcPr>
          <w:p w14:paraId="2BC4367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51.2</w:t>
            </w:r>
          </w:p>
        </w:tc>
        <w:tc>
          <w:tcPr>
            <w:tcW w:w="893" w:type="pct"/>
            <w:shd w:val="clear" w:color="auto" w:fill="auto"/>
            <w:vAlign w:val="center"/>
          </w:tcPr>
          <w:p w14:paraId="216A02E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48.2</w:t>
            </w:r>
          </w:p>
        </w:tc>
        <w:tc>
          <w:tcPr>
            <w:tcW w:w="768" w:type="pct"/>
            <w:shd w:val="clear" w:color="auto" w:fill="auto"/>
            <w:vAlign w:val="center"/>
          </w:tcPr>
          <w:p w14:paraId="7AFDBD3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37.9</w:t>
            </w:r>
          </w:p>
        </w:tc>
        <w:tc>
          <w:tcPr>
            <w:tcW w:w="747" w:type="pct"/>
            <w:shd w:val="clear" w:color="auto" w:fill="auto"/>
            <w:vAlign w:val="center"/>
          </w:tcPr>
          <w:p w14:paraId="7351DA3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37.4</w:t>
            </w:r>
          </w:p>
        </w:tc>
        <w:tc>
          <w:tcPr>
            <w:tcW w:w="785" w:type="pct"/>
            <w:shd w:val="clear" w:color="auto" w:fill="auto"/>
            <w:vAlign w:val="center"/>
          </w:tcPr>
          <w:p w14:paraId="262EA44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49.5</w:t>
            </w:r>
          </w:p>
        </w:tc>
      </w:tr>
      <w:tr w14:paraId="17D7C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446D130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520</w:t>
            </w:r>
          </w:p>
        </w:tc>
        <w:tc>
          <w:tcPr>
            <w:tcW w:w="790" w:type="pct"/>
            <w:shd w:val="clear" w:color="auto" w:fill="auto"/>
            <w:vAlign w:val="center"/>
          </w:tcPr>
          <w:p w14:paraId="2780D03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50.5</w:t>
            </w:r>
          </w:p>
        </w:tc>
        <w:tc>
          <w:tcPr>
            <w:tcW w:w="893" w:type="pct"/>
            <w:shd w:val="clear" w:color="auto" w:fill="auto"/>
            <w:vAlign w:val="center"/>
          </w:tcPr>
          <w:p w14:paraId="13BF7B9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47.5</w:t>
            </w:r>
          </w:p>
        </w:tc>
        <w:tc>
          <w:tcPr>
            <w:tcW w:w="768" w:type="pct"/>
            <w:shd w:val="clear" w:color="auto" w:fill="auto"/>
            <w:vAlign w:val="center"/>
          </w:tcPr>
          <w:p w14:paraId="33F4DB2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37.2</w:t>
            </w:r>
          </w:p>
        </w:tc>
        <w:tc>
          <w:tcPr>
            <w:tcW w:w="747" w:type="pct"/>
            <w:shd w:val="clear" w:color="auto" w:fill="auto"/>
            <w:vAlign w:val="center"/>
          </w:tcPr>
          <w:p w14:paraId="5388EAD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36.7</w:t>
            </w:r>
          </w:p>
        </w:tc>
        <w:tc>
          <w:tcPr>
            <w:tcW w:w="785" w:type="pct"/>
            <w:shd w:val="clear" w:color="auto" w:fill="auto"/>
            <w:vAlign w:val="center"/>
          </w:tcPr>
          <w:p w14:paraId="46A7363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48.8</w:t>
            </w:r>
          </w:p>
        </w:tc>
      </w:tr>
      <w:tr w14:paraId="6840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4" w:type="pct"/>
            <w:shd w:val="clear" w:color="auto" w:fill="auto"/>
            <w:vAlign w:val="center"/>
          </w:tcPr>
          <w:p w14:paraId="4C104C4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560</w:t>
            </w:r>
          </w:p>
        </w:tc>
        <w:tc>
          <w:tcPr>
            <w:tcW w:w="790" w:type="pct"/>
            <w:shd w:val="clear" w:color="auto" w:fill="auto"/>
            <w:vAlign w:val="center"/>
          </w:tcPr>
          <w:p w14:paraId="284C60D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49.8</w:t>
            </w:r>
          </w:p>
        </w:tc>
        <w:tc>
          <w:tcPr>
            <w:tcW w:w="893" w:type="pct"/>
            <w:shd w:val="clear" w:color="auto" w:fill="auto"/>
            <w:vAlign w:val="center"/>
          </w:tcPr>
          <w:p w14:paraId="152C18C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46.8</w:t>
            </w:r>
          </w:p>
        </w:tc>
        <w:tc>
          <w:tcPr>
            <w:tcW w:w="768" w:type="pct"/>
            <w:shd w:val="clear" w:color="auto" w:fill="auto"/>
            <w:vAlign w:val="center"/>
          </w:tcPr>
          <w:p w14:paraId="57BE9F9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36.5</w:t>
            </w:r>
          </w:p>
        </w:tc>
        <w:tc>
          <w:tcPr>
            <w:tcW w:w="747" w:type="pct"/>
            <w:shd w:val="clear" w:color="auto" w:fill="auto"/>
            <w:vAlign w:val="center"/>
          </w:tcPr>
          <w:p w14:paraId="46FD713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36.0</w:t>
            </w:r>
          </w:p>
        </w:tc>
        <w:tc>
          <w:tcPr>
            <w:tcW w:w="785" w:type="pct"/>
            <w:shd w:val="clear" w:color="auto" w:fill="auto"/>
            <w:vAlign w:val="center"/>
          </w:tcPr>
          <w:p w14:paraId="03EE4E5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48.1</w:t>
            </w:r>
          </w:p>
        </w:tc>
      </w:tr>
    </w:tbl>
    <w:p w14:paraId="20200B95">
      <w:pPr>
        <w:keepNext w:val="0"/>
        <w:keepLines w:val="0"/>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宋体" w:cs="Times New Roman"/>
          <w:color w:val="auto"/>
        </w:rPr>
      </w:pPr>
      <w:r>
        <w:rPr>
          <w:rFonts w:hint="default" w:ascii="Times New Roman" w:hAnsi="Times New Roman" w:cs="Times New Roman"/>
          <w:color w:val="auto"/>
        </w:rPr>
        <w:t>根据预测结果，各阶段施工噪声在40-180米之间可衰减至60dB，在120-560米之间可衰减至50dB。</w:t>
      </w:r>
    </w:p>
    <w:p w14:paraId="086918E4">
      <w:pPr>
        <w:keepNext w:val="0"/>
        <w:keepLines w:val="0"/>
        <w:pageBreakBefore w:val="0"/>
        <w:widowControl w:val="0"/>
        <w:kinsoku/>
        <w:wordWrap/>
        <w:overflowPunct/>
        <w:topLinePunct w:val="0"/>
        <w:autoSpaceDE/>
        <w:autoSpaceDN/>
        <w:bidi w:val="0"/>
        <w:spacing w:line="560" w:lineRule="exact"/>
        <w:ind w:left="640" w:firstLine="0" w:firstLineChars="0"/>
        <w:textAlignment w:val="auto"/>
        <w:rPr>
          <w:rFonts w:hint="default" w:ascii="Times New Roman" w:hAnsi="Times New Roman" w:cs="Times New Roman"/>
          <w:b/>
          <w:bCs/>
          <w:color w:val="auto"/>
          <w:szCs w:val="32"/>
        </w:rPr>
      </w:pPr>
      <w:r>
        <w:rPr>
          <w:rFonts w:hint="default" w:ascii="Times New Roman" w:hAnsi="Times New Roman" w:cs="Times New Roman"/>
          <w:b/>
          <w:bCs/>
          <w:color w:val="auto"/>
          <w:szCs w:val="32"/>
        </w:rPr>
        <w:fldChar w:fldCharType="begin"/>
      </w:r>
      <w:r>
        <w:rPr>
          <w:rFonts w:hint="default" w:ascii="Times New Roman" w:hAnsi="Times New Roman" w:cs="Times New Roman"/>
          <w:b/>
          <w:bCs/>
          <w:color w:val="auto"/>
          <w:szCs w:val="32"/>
        </w:rPr>
        <w:instrText xml:space="preserve"> = 3 \* ROMAN </w:instrText>
      </w:r>
      <w:r>
        <w:rPr>
          <w:rFonts w:hint="default" w:ascii="Times New Roman" w:hAnsi="Times New Roman" w:cs="Times New Roman"/>
          <w:b/>
          <w:bCs/>
          <w:color w:val="auto"/>
          <w:szCs w:val="32"/>
        </w:rPr>
        <w:fldChar w:fldCharType="separate"/>
      </w:r>
      <w:r>
        <w:rPr>
          <w:rFonts w:hint="eastAsia" w:cs="Times New Roman"/>
          <w:b/>
          <w:bCs/>
          <w:color w:val="auto"/>
          <w:szCs w:val="32"/>
          <w:lang w:eastAsia="zh-CN"/>
        </w:rPr>
        <w:t>Ⅲ</w:t>
      </w:r>
      <w:r>
        <w:rPr>
          <w:rFonts w:hint="default" w:ascii="Times New Roman" w:hAnsi="Times New Roman" w:cs="Times New Roman"/>
          <w:b/>
          <w:bCs/>
          <w:color w:val="auto"/>
          <w:szCs w:val="32"/>
        </w:rPr>
        <w:fldChar w:fldCharType="end"/>
      </w:r>
      <w:r>
        <w:rPr>
          <w:rFonts w:hint="default" w:ascii="Times New Roman" w:hAnsi="Times New Roman" w:cs="Times New Roman"/>
          <w:b/>
          <w:bCs/>
          <w:color w:val="auto"/>
          <w:szCs w:val="32"/>
        </w:rPr>
        <w:t>工业噪声衰减特性分析</w:t>
      </w:r>
    </w:p>
    <w:p w14:paraId="42EC9A6D">
      <w:pPr>
        <w:keepNext w:val="0"/>
        <w:keepLines w:val="0"/>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rPr>
      </w:pPr>
      <w:r>
        <w:rPr>
          <w:rFonts w:hint="eastAsia" w:cs="Times New Roman"/>
          <w:color w:val="auto"/>
          <w:lang w:eastAsia="zh-CN"/>
        </w:rPr>
        <w:t>（一）</w:t>
      </w:r>
      <w:r>
        <w:rPr>
          <w:rFonts w:hint="default" w:ascii="Times New Roman" w:hAnsi="Times New Roman" w:cs="Times New Roman"/>
          <w:color w:val="auto"/>
        </w:rPr>
        <w:t>工业噪声源分析</w:t>
      </w:r>
    </w:p>
    <w:p w14:paraId="09ED18E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szCs w:val="28"/>
        </w:rPr>
        <w:t>根据《环境噪声与振动控制工程技术导则》（HJ2034-2013），</w:t>
      </w:r>
      <w:r>
        <w:rPr>
          <w:rFonts w:hint="default" w:ascii="Times New Roman" w:hAnsi="Times New Roman" w:cs="Times New Roman"/>
          <w:color w:val="auto"/>
        </w:rPr>
        <w:t>常见工业噪声污染源及其声功率级如下表所示。</w:t>
      </w:r>
    </w:p>
    <w:p w14:paraId="67E0E61A">
      <w:pPr>
        <w:spacing w:line="560" w:lineRule="exact"/>
        <w:ind w:firstLine="0" w:firstLineChars="0"/>
        <w:jc w:val="center"/>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表</w:t>
      </w:r>
      <w:r>
        <w:rPr>
          <w:rFonts w:hint="eastAsia" w:eastAsia="黑体" w:cs="Times New Roman"/>
          <w:color w:val="auto"/>
          <w:sz w:val="21"/>
          <w:szCs w:val="21"/>
          <w:lang w:val="en-US" w:eastAsia="zh-CN"/>
        </w:rPr>
        <w:t>4-13</w:t>
      </w:r>
      <w:r>
        <w:rPr>
          <w:rFonts w:hint="default" w:ascii="Times New Roman" w:hAnsi="Times New Roman" w:eastAsia="黑体" w:cs="Times New Roman"/>
          <w:color w:val="auto"/>
          <w:sz w:val="21"/>
          <w:szCs w:val="21"/>
        </w:rPr>
        <w:t xml:space="preserve"> 常见环境噪声污染源及其声功率级</w:t>
      </w:r>
    </w:p>
    <w:tbl>
      <w:tblPr>
        <w:tblStyle w:val="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4"/>
        <w:gridCol w:w="2144"/>
      </w:tblGrid>
      <w:tr w14:paraId="15C0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39E85647">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噪声源</w:t>
            </w:r>
          </w:p>
        </w:tc>
        <w:tc>
          <w:tcPr>
            <w:tcW w:w="2144" w:type="dxa"/>
          </w:tcPr>
          <w:p w14:paraId="2142ABAD">
            <w:pPr>
              <w:spacing w:line="360" w:lineRule="exact"/>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声功率级(dB)</w:t>
            </w:r>
          </w:p>
        </w:tc>
      </w:tr>
      <w:tr w14:paraId="12B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1F085E5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大型球磨机、柴油发电机组等</w:t>
            </w:r>
          </w:p>
        </w:tc>
        <w:tc>
          <w:tcPr>
            <w:tcW w:w="2144" w:type="dxa"/>
          </w:tcPr>
          <w:p w14:paraId="1F18BA9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130~120</w:t>
            </w:r>
          </w:p>
        </w:tc>
      </w:tr>
      <w:tr w14:paraId="7B45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16F4F6E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织布机、电锯、透平压缩机、离心式冷冻机组、大型挖掘机等</w:t>
            </w:r>
          </w:p>
        </w:tc>
        <w:tc>
          <w:tcPr>
            <w:tcW w:w="2144" w:type="dxa"/>
          </w:tcPr>
          <w:p w14:paraId="4EB11A2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120~110</w:t>
            </w:r>
          </w:p>
        </w:tc>
      </w:tr>
      <w:tr w14:paraId="7199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3B5A425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纺纱机、大型空压机、大型离心风机、大型轴流、混流风机等</w:t>
            </w:r>
          </w:p>
        </w:tc>
        <w:tc>
          <w:tcPr>
            <w:tcW w:w="2144" w:type="dxa"/>
          </w:tcPr>
          <w:p w14:paraId="10B101A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110~100</w:t>
            </w:r>
          </w:p>
        </w:tc>
      </w:tr>
      <w:tr w14:paraId="1394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3129C2F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大部分工业企业生产车间、大中型机力冷却塔等</w:t>
            </w:r>
          </w:p>
        </w:tc>
        <w:tc>
          <w:tcPr>
            <w:tcW w:w="2144" w:type="dxa"/>
          </w:tcPr>
          <w:p w14:paraId="2A2975B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100~90</w:t>
            </w:r>
          </w:p>
        </w:tc>
      </w:tr>
      <w:tr w14:paraId="0222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5071608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常规变电站、大型冷却塔、风冷室外机组等</w:t>
            </w:r>
          </w:p>
        </w:tc>
        <w:tc>
          <w:tcPr>
            <w:tcW w:w="2144" w:type="dxa"/>
          </w:tcPr>
          <w:p w14:paraId="2891F2F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90~80</w:t>
            </w:r>
          </w:p>
        </w:tc>
      </w:tr>
      <w:tr w14:paraId="1AF8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4" w:type="dxa"/>
          </w:tcPr>
          <w:p w14:paraId="09C24F9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普通冷却塔、风冷室外机组等</w:t>
            </w:r>
          </w:p>
        </w:tc>
        <w:tc>
          <w:tcPr>
            <w:tcW w:w="2144" w:type="dxa"/>
          </w:tcPr>
          <w:p w14:paraId="7E72F39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80~70</w:t>
            </w:r>
          </w:p>
        </w:tc>
      </w:tr>
    </w:tbl>
    <w:p w14:paraId="3902FE55">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eastAsia" w:cs="Times New Roman"/>
          <w:color w:val="auto"/>
          <w:lang w:eastAsia="zh-CN"/>
        </w:rPr>
        <w:t>（二）</w:t>
      </w:r>
      <w:r>
        <w:rPr>
          <w:rFonts w:hint="default" w:cs="Times New Roman"/>
          <w:color w:val="auto"/>
          <w:lang w:eastAsia="zh-CN"/>
        </w:rPr>
        <w:t>工业噪声衰减预测</w:t>
      </w:r>
    </w:p>
    <w:p w14:paraId="42E3D932">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同施工噪声，工业噪声也可近似视为点声源处理。各类型噪声源不同距离处的衰减预测见表</w:t>
      </w:r>
      <w:r>
        <w:rPr>
          <w:rFonts w:hint="eastAsia" w:cs="Times New Roman"/>
          <w:color w:val="auto"/>
          <w:lang w:val="en-US" w:eastAsia="zh-CN"/>
        </w:rPr>
        <w:t>4-14</w:t>
      </w:r>
      <w:r>
        <w:rPr>
          <w:rFonts w:hint="default" w:cs="Times New Roman"/>
          <w:color w:val="auto"/>
          <w:lang w:eastAsia="zh-CN"/>
        </w:rPr>
        <w:t>。</w:t>
      </w:r>
    </w:p>
    <w:p w14:paraId="3A103698">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4-14</w:t>
      </w:r>
      <w:r>
        <w:rPr>
          <w:rFonts w:hint="default" w:eastAsia="黑体" w:cs="Times New Roman"/>
          <w:color w:val="auto"/>
          <w:sz w:val="21"/>
          <w:szCs w:val="21"/>
          <w:lang w:val="en-US" w:eastAsia="zh-CN"/>
        </w:rPr>
        <w:t xml:space="preserve"> 常见施工设备噪声源不同距离声压级 单位：dB(A)</w:t>
      </w:r>
    </w:p>
    <w:tbl>
      <w:tblPr>
        <w:tblStyle w:val="19"/>
        <w:tblW w:w="5000" w:type="pct"/>
        <w:tblInd w:w="0" w:type="dxa"/>
        <w:tblLayout w:type="fixed"/>
        <w:tblCellMar>
          <w:top w:w="0" w:type="dxa"/>
          <w:left w:w="108" w:type="dxa"/>
          <w:bottom w:w="0" w:type="dxa"/>
          <w:right w:w="108" w:type="dxa"/>
        </w:tblCellMar>
      </w:tblPr>
      <w:tblGrid>
        <w:gridCol w:w="1021"/>
        <w:gridCol w:w="1051"/>
        <w:gridCol w:w="1113"/>
        <w:gridCol w:w="1111"/>
        <w:gridCol w:w="1111"/>
        <w:gridCol w:w="1111"/>
        <w:gridCol w:w="1111"/>
        <w:gridCol w:w="1111"/>
        <w:gridCol w:w="1111"/>
      </w:tblGrid>
      <w:tr w14:paraId="796E2303">
        <w:tblPrEx>
          <w:tblCellMar>
            <w:top w:w="0" w:type="dxa"/>
            <w:left w:w="108" w:type="dxa"/>
            <w:bottom w:w="0" w:type="dxa"/>
            <w:right w:w="108" w:type="dxa"/>
          </w:tblCellMar>
        </w:tblPrEx>
        <w:trPr>
          <w:trHeight w:val="315" w:hRule="atLeast"/>
        </w:trPr>
        <w:tc>
          <w:tcPr>
            <w:tcW w:w="105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407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距离声源5m</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91A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130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1FE9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120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22C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110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1CEF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D511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DA3A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D02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70</w:t>
            </w:r>
          </w:p>
        </w:tc>
      </w:tr>
      <w:tr w14:paraId="726FB744">
        <w:tblPrEx>
          <w:tblCellMar>
            <w:top w:w="0" w:type="dxa"/>
            <w:left w:w="108" w:type="dxa"/>
            <w:bottom w:w="0" w:type="dxa"/>
            <w:right w:w="108" w:type="dxa"/>
          </w:tblCellMar>
        </w:tblPrEx>
        <w:trPr>
          <w:trHeight w:val="315"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340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距离（m）</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3002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C66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118.0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ACB5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B11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501A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CF08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5AB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61B3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58.0</w:t>
            </w:r>
          </w:p>
        </w:tc>
      </w:tr>
      <w:tr w14:paraId="3BEA8C0E">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B02D">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8D9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61C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114.4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B2B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F32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607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1AB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600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CBC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54.4</w:t>
            </w:r>
          </w:p>
        </w:tc>
      </w:tr>
      <w:tr w14:paraId="2EB543BE">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BD658">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ABEF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F12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111.9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B724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E2C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5521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B667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5E35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E50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51.9</w:t>
            </w:r>
          </w:p>
        </w:tc>
      </w:tr>
      <w:tr w14:paraId="4C196897">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8FB6">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221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B8A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9BE0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B53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9C7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3104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4D44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0892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48.4</w:t>
            </w:r>
          </w:p>
        </w:tc>
      </w:tr>
      <w:tr w14:paraId="26C3397E">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4C24">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A80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A72D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12A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608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B5A0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8BF1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B05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400E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45.9</w:t>
            </w:r>
          </w:p>
        </w:tc>
      </w:tr>
      <w:tr w14:paraId="60EBCAE0">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16A9F">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130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120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C9E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067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1C5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599E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E6B2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1D3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52.4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F96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42.4</w:t>
            </w:r>
          </w:p>
        </w:tc>
      </w:tr>
      <w:tr w14:paraId="7FA47338">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CC04">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98AB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140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A9C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E326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183B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266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C04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ECF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51.1</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492E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41.1</w:t>
            </w:r>
          </w:p>
        </w:tc>
      </w:tr>
      <w:tr w14:paraId="221338C5">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51A50">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495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160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D6D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6D09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015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D08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A85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379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49.9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E8C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39.9</w:t>
            </w:r>
          </w:p>
        </w:tc>
      </w:tr>
      <w:tr w14:paraId="290F0FB9">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978F">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396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B89F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9EA7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456D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4ECE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D9C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4C9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48.9</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F07E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38.9</w:t>
            </w:r>
          </w:p>
        </w:tc>
      </w:tr>
      <w:tr w14:paraId="48E558E0">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E7C6">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804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200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80C7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327E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F316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C7E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212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3B3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DF6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38.0</w:t>
            </w:r>
          </w:p>
        </w:tc>
      </w:tr>
      <w:tr w14:paraId="68834754">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6204">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08B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240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6FC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D206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F9B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046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664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3AE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46.4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090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36.4</w:t>
            </w:r>
          </w:p>
        </w:tc>
      </w:tr>
      <w:tr w14:paraId="6F4AEDDD">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500A">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F570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280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F87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F0C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C11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24D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EAC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FD2D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45.0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A0B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35.0</w:t>
            </w:r>
          </w:p>
        </w:tc>
      </w:tr>
      <w:tr w14:paraId="1A2ED240">
        <w:tblPrEx>
          <w:tblCellMar>
            <w:top w:w="0" w:type="dxa"/>
            <w:left w:w="108" w:type="dxa"/>
            <w:bottom w:w="0" w:type="dxa"/>
            <w:right w:w="108" w:type="dxa"/>
          </w:tblCellMar>
        </w:tblPrEx>
        <w:trPr>
          <w:trHeight w:val="315"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41F83">
            <w:pPr>
              <w:spacing w:line="360" w:lineRule="exact"/>
              <w:ind w:firstLine="0" w:firstLineChars="0"/>
              <w:jc w:val="center"/>
              <w:rPr>
                <w:rFonts w:hint="default" w:ascii="Times New Roman" w:hAnsi="Times New Roman" w:cs="Times New Roman"/>
                <w:color w:val="auto"/>
                <w:sz w:val="24"/>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9B18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300</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E9E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94.4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220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84.4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800E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74.4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550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14E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54.4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4E66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44.4</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8FB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34.4</w:t>
            </w:r>
          </w:p>
        </w:tc>
      </w:tr>
    </w:tbl>
    <w:p w14:paraId="1144A883">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eastAsia" w:cs="Times New Roman"/>
          <w:color w:val="auto"/>
          <w:lang w:eastAsia="zh-CN"/>
        </w:rPr>
        <w:t>预测结果显示</w:t>
      </w:r>
      <w:r>
        <w:rPr>
          <w:rFonts w:hint="default" w:cs="Times New Roman"/>
          <w:color w:val="auto"/>
          <w:lang w:eastAsia="zh-CN"/>
        </w:rPr>
        <w:t>，工业声源在90dB(A)时，可在160米处衰减至60dB以下；工业声源在80dB(A)时，可在60米处衰减至60dB以下，在160米处衰减至50dB以下。</w:t>
      </w:r>
    </w:p>
    <w:p w14:paraId="1201531A">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b/>
          <w:bCs/>
          <w:color w:val="auto"/>
          <w:lang w:eastAsia="zh-CN"/>
        </w:rPr>
        <w:fldChar w:fldCharType="begin"/>
      </w:r>
      <w:r>
        <w:rPr>
          <w:rFonts w:hint="default" w:cs="Times New Roman"/>
          <w:b/>
          <w:bCs/>
          <w:color w:val="auto"/>
          <w:lang w:eastAsia="zh-CN"/>
        </w:rPr>
        <w:instrText xml:space="preserve"> = 4 \* ROMAN </w:instrText>
      </w:r>
      <w:r>
        <w:rPr>
          <w:rFonts w:hint="default" w:cs="Times New Roman"/>
          <w:b/>
          <w:bCs/>
          <w:color w:val="auto"/>
          <w:lang w:eastAsia="zh-CN"/>
        </w:rPr>
        <w:fldChar w:fldCharType="separate"/>
      </w:r>
      <w:r>
        <w:rPr>
          <w:rFonts w:hint="default" w:cs="Times New Roman"/>
          <w:b/>
          <w:bCs/>
          <w:color w:val="auto"/>
          <w:lang w:eastAsia="zh-CN"/>
        </w:rPr>
        <w:t>IV</w:t>
      </w:r>
      <w:r>
        <w:rPr>
          <w:rFonts w:hint="default" w:cs="Times New Roman"/>
          <w:b/>
          <w:bCs/>
          <w:color w:val="auto"/>
          <w:lang w:eastAsia="zh-CN"/>
        </w:rPr>
        <w:fldChar w:fldCharType="end"/>
      </w:r>
      <w:r>
        <w:rPr>
          <w:rFonts w:hint="default" w:cs="Times New Roman"/>
          <w:b/>
          <w:bCs/>
          <w:color w:val="auto"/>
          <w:lang w:eastAsia="zh-CN"/>
        </w:rPr>
        <w:t>各类噪声实测数据分析</w:t>
      </w:r>
    </w:p>
    <w:p w14:paraId="57DDD80C">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bookmarkStart w:id="27" w:name="_Hlk162510713"/>
      <w:r>
        <w:rPr>
          <w:rFonts w:hint="default" w:cs="Times New Roman"/>
          <w:color w:val="auto"/>
          <w:lang w:eastAsia="zh-CN"/>
        </w:rPr>
        <w:t>针对交通噪声衰减情况，根据南京市声环境质量分析报告，秦淮区2020-2023年交通噪声声级值为67.2-67.5dB(A)，处于稳定水平，因此引用江苏省南京环境监测中心2021年对南京市典型路段交通噪声开展专项调查的实际监测结果，相关情况</w:t>
      </w:r>
      <w:bookmarkEnd w:id="27"/>
      <w:r>
        <w:rPr>
          <w:rFonts w:hint="default" w:cs="Times New Roman"/>
          <w:color w:val="auto"/>
          <w:lang w:eastAsia="zh-CN"/>
        </w:rPr>
        <w:t>见图</w:t>
      </w:r>
      <w:r>
        <w:rPr>
          <w:rFonts w:hint="eastAsia" w:cs="Times New Roman"/>
          <w:color w:val="auto"/>
          <w:lang w:val="en-US" w:eastAsia="zh-CN"/>
        </w:rPr>
        <w:t>4-5</w:t>
      </w:r>
      <w:r>
        <w:rPr>
          <w:rFonts w:hint="default" w:cs="Times New Roman"/>
          <w:color w:val="auto"/>
          <w:lang w:eastAsia="zh-CN"/>
        </w:rPr>
        <w:t>和图</w:t>
      </w:r>
      <w:r>
        <w:rPr>
          <w:rFonts w:hint="eastAsia" w:cs="Times New Roman"/>
          <w:color w:val="auto"/>
          <w:lang w:val="en-US" w:eastAsia="zh-CN"/>
        </w:rPr>
        <w:t>4-6</w:t>
      </w:r>
      <w:r>
        <w:rPr>
          <w:rFonts w:hint="default" w:cs="Times New Roman"/>
          <w:color w:val="auto"/>
          <w:lang w:eastAsia="zh-CN"/>
        </w:rPr>
        <w:t>。</w:t>
      </w:r>
    </w:p>
    <w:p w14:paraId="74B628C3">
      <w:pPr>
        <w:spacing w:line="240" w:lineRule="auto"/>
        <w:ind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drawing>
          <wp:inline distT="0" distB="0" distL="0" distR="0">
            <wp:extent cx="5833110" cy="25774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33110" cy="2577465"/>
                    </a:xfrm>
                    <a:prstGeom prst="rect">
                      <a:avLst/>
                    </a:prstGeom>
                    <a:noFill/>
                    <a:ln>
                      <a:noFill/>
                    </a:ln>
                  </pic:spPr>
                </pic:pic>
              </a:graphicData>
            </a:graphic>
          </wp:inline>
        </w:drawing>
      </w:r>
    </w:p>
    <w:p w14:paraId="0B46A9F8">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图</w:t>
      </w:r>
      <w:r>
        <w:rPr>
          <w:rFonts w:hint="eastAsia" w:eastAsia="黑体" w:cs="Times New Roman"/>
          <w:color w:val="auto"/>
          <w:sz w:val="21"/>
          <w:szCs w:val="21"/>
          <w:lang w:val="en-US" w:eastAsia="zh-CN"/>
        </w:rPr>
        <w:t>4-5</w:t>
      </w:r>
      <w:r>
        <w:rPr>
          <w:rFonts w:hint="default" w:eastAsia="黑体" w:cs="Times New Roman"/>
          <w:color w:val="auto"/>
          <w:sz w:val="21"/>
          <w:szCs w:val="21"/>
          <w:lang w:val="en-US" w:eastAsia="zh-CN"/>
        </w:rPr>
        <w:t xml:space="preserve"> 非高架路段交通噪声水平衰减情况</w:t>
      </w:r>
    </w:p>
    <w:p w14:paraId="30F33C94">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由以上数据分析可知，夜间非高架路段交通噪声衰减到距离慢车道200米处才能满足2类区标准，若要达到1类区标准，则需要超过200米方能满足要求。</w:t>
      </w:r>
    </w:p>
    <w:p w14:paraId="7E67B70E">
      <w:pPr>
        <w:spacing w:line="240" w:lineRule="auto"/>
        <w:ind w:firstLine="482"/>
        <w:jc w:val="center"/>
        <w:rPr>
          <w:rFonts w:hint="default" w:ascii="Times New Roman" w:hAnsi="Times New Roman" w:cs="Times New Roman"/>
          <w:b/>
          <w:color w:val="auto"/>
          <w:sz w:val="24"/>
        </w:rPr>
      </w:pPr>
      <w:r>
        <w:rPr>
          <w:rFonts w:hint="default" w:ascii="Times New Roman" w:hAnsi="Times New Roman" w:cs="Times New Roman"/>
          <w:b/>
          <w:color w:val="auto"/>
          <w:sz w:val="24"/>
        </w:rPr>
        <w:drawing>
          <wp:inline distT="0" distB="0" distL="0" distR="0">
            <wp:extent cx="5624195" cy="2906395"/>
            <wp:effectExtent l="0" t="0" r="1460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24195" cy="2906395"/>
                    </a:xfrm>
                    <a:prstGeom prst="rect">
                      <a:avLst/>
                    </a:prstGeom>
                    <a:noFill/>
                    <a:ln>
                      <a:noFill/>
                    </a:ln>
                  </pic:spPr>
                </pic:pic>
              </a:graphicData>
            </a:graphic>
          </wp:inline>
        </w:drawing>
      </w:r>
    </w:p>
    <w:p w14:paraId="6BE68440">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图</w:t>
      </w:r>
      <w:r>
        <w:rPr>
          <w:rFonts w:hint="eastAsia" w:eastAsia="黑体" w:cs="Times New Roman"/>
          <w:color w:val="auto"/>
          <w:sz w:val="21"/>
          <w:szCs w:val="21"/>
          <w:lang w:val="en-US" w:eastAsia="zh-CN"/>
        </w:rPr>
        <w:t>4-6</w:t>
      </w:r>
      <w:r>
        <w:rPr>
          <w:rFonts w:hint="default" w:eastAsia="黑体" w:cs="Times New Roman"/>
          <w:color w:val="auto"/>
          <w:sz w:val="21"/>
          <w:szCs w:val="21"/>
          <w:lang w:val="en-US" w:eastAsia="zh-CN"/>
        </w:rPr>
        <w:t xml:space="preserve"> 高架路段交通噪声水平衰减情况</w:t>
      </w:r>
    </w:p>
    <w:p w14:paraId="056C884F">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由以上数据分析可知，夜间高架路段交通噪声衰减到距离慢车道200米处才能满足2类区标准，若要达到1类区标准，则需要超过200米方能满足要求。</w:t>
      </w:r>
    </w:p>
    <w:p w14:paraId="2FB5F852">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针对施工噪声衰减情况，引用江苏省南京环境监测中心2023年开展的南京市噪声扰民专项调查监测</w:t>
      </w:r>
      <w:r>
        <w:rPr>
          <w:rFonts w:hint="eastAsia" w:cs="Times New Roman"/>
          <w:color w:val="auto"/>
          <w:lang w:eastAsia="zh-CN"/>
        </w:rPr>
        <w:t>编制的</w:t>
      </w:r>
      <w:r>
        <w:rPr>
          <w:rFonts w:hint="default" w:cs="Times New Roman"/>
          <w:color w:val="auto"/>
          <w:lang w:eastAsia="zh-CN"/>
        </w:rPr>
        <w:t>《南京市建筑施工噪声扰民专项调查监测报告》，施工噪声夜间衰减到场界外80米处依然超标，需要超过100米方能满足2类区</w:t>
      </w:r>
      <w:r>
        <w:rPr>
          <w:rFonts w:hint="eastAsia" w:cs="Times New Roman"/>
          <w:color w:val="auto"/>
          <w:lang w:eastAsia="zh-CN"/>
        </w:rPr>
        <w:t>要求</w:t>
      </w:r>
      <w:r>
        <w:rPr>
          <w:rFonts w:hint="default" w:cs="Times New Roman"/>
          <w:color w:val="auto"/>
          <w:lang w:eastAsia="zh-CN"/>
        </w:rPr>
        <w:t>。</w:t>
      </w:r>
    </w:p>
    <w:p w14:paraId="73042F69">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参考卢琦星《建筑施工噪声衰减规律与达标距离分析》（化学工程与装备，2012年第7期），各类建筑施工机械设备噪声级达标距离见下表</w:t>
      </w:r>
      <w:r>
        <w:rPr>
          <w:rFonts w:hint="eastAsia" w:cs="Times New Roman"/>
          <w:color w:val="auto"/>
          <w:lang w:val="en-US" w:eastAsia="zh-CN"/>
        </w:rPr>
        <w:t>4-15</w:t>
      </w:r>
      <w:r>
        <w:rPr>
          <w:rFonts w:hint="default" w:cs="Times New Roman"/>
          <w:color w:val="auto"/>
          <w:lang w:eastAsia="zh-CN"/>
        </w:rPr>
        <w:t>。</w:t>
      </w:r>
    </w:p>
    <w:p w14:paraId="029BD63F">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4-15</w:t>
      </w:r>
      <w:r>
        <w:rPr>
          <w:rFonts w:hint="default" w:eastAsia="黑体" w:cs="Times New Roman"/>
          <w:color w:val="auto"/>
          <w:sz w:val="21"/>
          <w:szCs w:val="21"/>
          <w:lang w:val="en-US" w:eastAsia="zh-CN"/>
        </w:rPr>
        <w:t xml:space="preserve"> 建筑施工机械设备噪声级达标距离</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3242"/>
        <w:gridCol w:w="2073"/>
        <w:gridCol w:w="2075"/>
      </w:tblGrid>
      <w:tr w14:paraId="4A21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blHeader/>
          <w:jc w:val="center"/>
        </w:trPr>
        <w:tc>
          <w:tcPr>
            <w:tcW w:w="1250" w:type="pct"/>
            <w:vMerge w:val="restart"/>
            <w:vAlign w:val="center"/>
          </w:tcPr>
          <w:p w14:paraId="2F76CF2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施工阶段</w:t>
            </w:r>
          </w:p>
        </w:tc>
        <w:tc>
          <w:tcPr>
            <w:tcW w:w="1645" w:type="pct"/>
            <w:vMerge w:val="restart"/>
            <w:vAlign w:val="center"/>
          </w:tcPr>
          <w:p w14:paraId="7BF6FC9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建筑施工机械设备声源名称</w:t>
            </w:r>
          </w:p>
        </w:tc>
        <w:tc>
          <w:tcPr>
            <w:tcW w:w="2105" w:type="pct"/>
            <w:gridSpan w:val="2"/>
            <w:vAlign w:val="center"/>
          </w:tcPr>
          <w:p w14:paraId="4D4423E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达标距离（米）</w:t>
            </w:r>
          </w:p>
        </w:tc>
      </w:tr>
      <w:tr w14:paraId="491F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250" w:type="pct"/>
            <w:vMerge w:val="continue"/>
            <w:vAlign w:val="center"/>
          </w:tcPr>
          <w:p w14:paraId="05302599">
            <w:pPr>
              <w:spacing w:line="360" w:lineRule="exact"/>
              <w:ind w:firstLine="0" w:firstLineChars="0"/>
              <w:jc w:val="center"/>
              <w:rPr>
                <w:rFonts w:hint="default" w:ascii="Times New Roman" w:hAnsi="Times New Roman" w:cs="Times New Roman"/>
                <w:color w:val="auto"/>
                <w:sz w:val="24"/>
              </w:rPr>
            </w:pPr>
          </w:p>
        </w:tc>
        <w:tc>
          <w:tcPr>
            <w:tcW w:w="1645" w:type="pct"/>
            <w:vMerge w:val="continue"/>
            <w:vAlign w:val="center"/>
          </w:tcPr>
          <w:p w14:paraId="231F174E">
            <w:pPr>
              <w:spacing w:line="360" w:lineRule="exact"/>
              <w:ind w:firstLine="0" w:firstLineChars="0"/>
              <w:jc w:val="center"/>
              <w:rPr>
                <w:rFonts w:hint="default" w:ascii="Times New Roman" w:hAnsi="Times New Roman" w:cs="Times New Roman"/>
                <w:color w:val="auto"/>
                <w:sz w:val="24"/>
              </w:rPr>
            </w:pPr>
          </w:p>
        </w:tc>
        <w:tc>
          <w:tcPr>
            <w:tcW w:w="1052" w:type="pct"/>
            <w:vAlign w:val="center"/>
          </w:tcPr>
          <w:p w14:paraId="7ACDD21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昼间</w:t>
            </w:r>
          </w:p>
        </w:tc>
        <w:tc>
          <w:tcPr>
            <w:tcW w:w="1052" w:type="pct"/>
            <w:vAlign w:val="center"/>
          </w:tcPr>
          <w:p w14:paraId="4500C1F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夜间</w:t>
            </w:r>
          </w:p>
        </w:tc>
      </w:tr>
      <w:tr w14:paraId="45D5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50" w:type="pct"/>
            <w:vMerge w:val="restart"/>
            <w:vAlign w:val="center"/>
          </w:tcPr>
          <w:p w14:paraId="4E53D9A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土石方</w:t>
            </w:r>
          </w:p>
        </w:tc>
        <w:tc>
          <w:tcPr>
            <w:tcW w:w="1645" w:type="pct"/>
            <w:vAlign w:val="center"/>
          </w:tcPr>
          <w:p w14:paraId="01D1663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装载机</w:t>
            </w:r>
          </w:p>
        </w:tc>
        <w:tc>
          <w:tcPr>
            <w:tcW w:w="1052" w:type="pct"/>
            <w:vAlign w:val="center"/>
          </w:tcPr>
          <w:p w14:paraId="594BD6B9">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31</w:t>
            </w:r>
          </w:p>
        </w:tc>
        <w:tc>
          <w:tcPr>
            <w:tcW w:w="1052" w:type="pct"/>
            <w:vAlign w:val="center"/>
          </w:tcPr>
          <w:p w14:paraId="4D7969A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303</w:t>
            </w:r>
          </w:p>
        </w:tc>
      </w:tr>
      <w:tr w14:paraId="7EFF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250" w:type="pct"/>
            <w:vMerge w:val="continue"/>
            <w:vAlign w:val="center"/>
          </w:tcPr>
          <w:p w14:paraId="3C892FBB">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75F8EFC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柴油空压机</w:t>
            </w:r>
          </w:p>
        </w:tc>
        <w:tc>
          <w:tcPr>
            <w:tcW w:w="1052" w:type="pct"/>
            <w:vAlign w:val="center"/>
          </w:tcPr>
          <w:p w14:paraId="6A136CC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w:t>
            </w:r>
          </w:p>
        </w:tc>
        <w:tc>
          <w:tcPr>
            <w:tcW w:w="1052" w:type="pct"/>
            <w:vAlign w:val="center"/>
          </w:tcPr>
          <w:p w14:paraId="0640CCD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278</w:t>
            </w:r>
          </w:p>
        </w:tc>
      </w:tr>
      <w:tr w14:paraId="383A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250" w:type="pct"/>
            <w:vMerge w:val="continue"/>
            <w:vAlign w:val="center"/>
          </w:tcPr>
          <w:p w14:paraId="396B595E">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66504A8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挖掘机（挖土）</w:t>
            </w:r>
          </w:p>
        </w:tc>
        <w:tc>
          <w:tcPr>
            <w:tcW w:w="1052" w:type="pct"/>
            <w:vAlign w:val="center"/>
          </w:tcPr>
          <w:p w14:paraId="3148260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15</w:t>
            </w:r>
          </w:p>
        </w:tc>
        <w:tc>
          <w:tcPr>
            <w:tcW w:w="1052" w:type="pct"/>
            <w:vAlign w:val="center"/>
          </w:tcPr>
          <w:p w14:paraId="37E71C6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265</w:t>
            </w:r>
          </w:p>
        </w:tc>
      </w:tr>
      <w:tr w14:paraId="2A8B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250" w:type="pct"/>
            <w:vMerge w:val="continue"/>
            <w:vAlign w:val="center"/>
          </w:tcPr>
          <w:p w14:paraId="343CAD8E">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16DAF64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挖掘机（破碎）</w:t>
            </w:r>
          </w:p>
        </w:tc>
        <w:tc>
          <w:tcPr>
            <w:tcW w:w="1052" w:type="pct"/>
            <w:vAlign w:val="center"/>
          </w:tcPr>
          <w:p w14:paraId="6927E06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26</w:t>
            </w:r>
          </w:p>
        </w:tc>
        <w:tc>
          <w:tcPr>
            <w:tcW w:w="1052" w:type="pct"/>
            <w:vAlign w:val="center"/>
          </w:tcPr>
          <w:p w14:paraId="39D7E57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362</w:t>
            </w:r>
          </w:p>
        </w:tc>
      </w:tr>
      <w:tr w14:paraId="17FD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50" w:type="pct"/>
            <w:vMerge w:val="restart"/>
            <w:vAlign w:val="center"/>
          </w:tcPr>
          <w:p w14:paraId="336E576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打桩</w:t>
            </w:r>
          </w:p>
        </w:tc>
        <w:tc>
          <w:tcPr>
            <w:tcW w:w="1645" w:type="pct"/>
            <w:vAlign w:val="center"/>
          </w:tcPr>
          <w:p w14:paraId="2B1B781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风镐</w:t>
            </w:r>
          </w:p>
        </w:tc>
        <w:tc>
          <w:tcPr>
            <w:tcW w:w="1052" w:type="pct"/>
            <w:vAlign w:val="center"/>
          </w:tcPr>
          <w:p w14:paraId="57D9C46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68</w:t>
            </w:r>
          </w:p>
        </w:tc>
        <w:tc>
          <w:tcPr>
            <w:tcW w:w="1052" w:type="pct"/>
            <w:vAlign w:val="center"/>
          </w:tcPr>
          <w:p w14:paraId="5850349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400</w:t>
            </w:r>
          </w:p>
        </w:tc>
      </w:tr>
      <w:tr w14:paraId="01D6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50" w:type="pct"/>
            <w:vMerge w:val="continue"/>
            <w:vAlign w:val="center"/>
          </w:tcPr>
          <w:p w14:paraId="00F165C1">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47D9593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灌注桩钻机</w:t>
            </w:r>
          </w:p>
        </w:tc>
        <w:tc>
          <w:tcPr>
            <w:tcW w:w="1052" w:type="pct"/>
            <w:vAlign w:val="center"/>
          </w:tcPr>
          <w:p w14:paraId="784013A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27</w:t>
            </w:r>
          </w:p>
        </w:tc>
        <w:tc>
          <w:tcPr>
            <w:tcW w:w="1052" w:type="pct"/>
            <w:vAlign w:val="center"/>
          </w:tcPr>
          <w:p w14:paraId="4D3EEB52">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287</w:t>
            </w:r>
          </w:p>
        </w:tc>
      </w:tr>
      <w:tr w14:paraId="4F2E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50" w:type="pct"/>
            <w:vMerge w:val="continue"/>
            <w:vAlign w:val="center"/>
          </w:tcPr>
          <w:p w14:paraId="20E4C38E">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032EDBF5">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静压桩</w:t>
            </w:r>
          </w:p>
        </w:tc>
        <w:tc>
          <w:tcPr>
            <w:tcW w:w="1052" w:type="pct"/>
            <w:vAlign w:val="center"/>
          </w:tcPr>
          <w:p w14:paraId="37B9076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19</w:t>
            </w:r>
          </w:p>
        </w:tc>
        <w:tc>
          <w:tcPr>
            <w:tcW w:w="1052" w:type="pct"/>
            <w:vAlign w:val="center"/>
          </w:tcPr>
          <w:p w14:paraId="505E5D4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261</w:t>
            </w:r>
          </w:p>
        </w:tc>
      </w:tr>
      <w:tr w14:paraId="4D9F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50" w:type="pct"/>
            <w:vMerge w:val="restart"/>
            <w:vAlign w:val="center"/>
          </w:tcPr>
          <w:p w14:paraId="3CF7F10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结构</w:t>
            </w:r>
          </w:p>
        </w:tc>
        <w:tc>
          <w:tcPr>
            <w:tcW w:w="1645" w:type="pct"/>
            <w:vAlign w:val="center"/>
          </w:tcPr>
          <w:p w14:paraId="0EE5F030">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搅拌机</w:t>
            </w:r>
          </w:p>
        </w:tc>
        <w:tc>
          <w:tcPr>
            <w:tcW w:w="1052" w:type="pct"/>
            <w:vAlign w:val="center"/>
          </w:tcPr>
          <w:p w14:paraId="263C0ABA">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14</w:t>
            </w:r>
          </w:p>
        </w:tc>
        <w:tc>
          <w:tcPr>
            <w:tcW w:w="1052" w:type="pct"/>
            <w:vAlign w:val="center"/>
          </w:tcPr>
          <w:p w14:paraId="68743844">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224</w:t>
            </w:r>
          </w:p>
        </w:tc>
      </w:tr>
      <w:tr w14:paraId="0444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250" w:type="pct"/>
            <w:vMerge w:val="continue"/>
            <w:vAlign w:val="center"/>
          </w:tcPr>
          <w:p w14:paraId="7A03D897">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00991D8F">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起重机</w:t>
            </w:r>
          </w:p>
        </w:tc>
        <w:tc>
          <w:tcPr>
            <w:tcW w:w="1052" w:type="pct"/>
            <w:vAlign w:val="center"/>
          </w:tcPr>
          <w:p w14:paraId="0D0F9E7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23</w:t>
            </w:r>
          </w:p>
        </w:tc>
        <w:tc>
          <w:tcPr>
            <w:tcW w:w="1052" w:type="pct"/>
            <w:vAlign w:val="center"/>
          </w:tcPr>
          <w:p w14:paraId="2B3DFDF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225</w:t>
            </w:r>
          </w:p>
        </w:tc>
      </w:tr>
      <w:tr w14:paraId="23F9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250" w:type="pct"/>
            <w:vMerge w:val="continue"/>
            <w:vAlign w:val="center"/>
          </w:tcPr>
          <w:p w14:paraId="5A7ED36F">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4E822FDD">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振动棒</w:t>
            </w:r>
          </w:p>
        </w:tc>
        <w:tc>
          <w:tcPr>
            <w:tcW w:w="1052" w:type="pct"/>
            <w:vAlign w:val="center"/>
          </w:tcPr>
          <w:p w14:paraId="73730E0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19</w:t>
            </w:r>
          </w:p>
        </w:tc>
        <w:tc>
          <w:tcPr>
            <w:tcW w:w="1052" w:type="pct"/>
            <w:vAlign w:val="center"/>
          </w:tcPr>
          <w:p w14:paraId="1FEEB74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245</w:t>
            </w:r>
          </w:p>
        </w:tc>
      </w:tr>
      <w:tr w14:paraId="3A98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50" w:type="pct"/>
            <w:vMerge w:val="restart"/>
            <w:vAlign w:val="center"/>
          </w:tcPr>
          <w:p w14:paraId="24208B01">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装修</w:t>
            </w:r>
          </w:p>
        </w:tc>
        <w:tc>
          <w:tcPr>
            <w:tcW w:w="1645" w:type="pct"/>
            <w:vAlign w:val="center"/>
          </w:tcPr>
          <w:p w14:paraId="0F817D1C">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钢筋拉直切断机</w:t>
            </w:r>
          </w:p>
        </w:tc>
        <w:tc>
          <w:tcPr>
            <w:tcW w:w="1052" w:type="pct"/>
            <w:vAlign w:val="center"/>
          </w:tcPr>
          <w:p w14:paraId="75A9432E">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14</w:t>
            </w:r>
          </w:p>
        </w:tc>
        <w:tc>
          <w:tcPr>
            <w:tcW w:w="1052" w:type="pct"/>
            <w:vAlign w:val="center"/>
          </w:tcPr>
          <w:p w14:paraId="79833BC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101</w:t>
            </w:r>
          </w:p>
        </w:tc>
      </w:tr>
      <w:tr w14:paraId="1BC4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250" w:type="pct"/>
            <w:vMerge w:val="continue"/>
            <w:vAlign w:val="center"/>
          </w:tcPr>
          <w:p w14:paraId="0A2665C5">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7E1AE08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切割机</w:t>
            </w:r>
          </w:p>
        </w:tc>
        <w:tc>
          <w:tcPr>
            <w:tcW w:w="1052" w:type="pct"/>
            <w:vAlign w:val="center"/>
          </w:tcPr>
          <w:p w14:paraId="68246A17">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36</w:t>
            </w:r>
          </w:p>
        </w:tc>
        <w:tc>
          <w:tcPr>
            <w:tcW w:w="1052" w:type="pct"/>
            <w:vAlign w:val="center"/>
          </w:tcPr>
          <w:p w14:paraId="5806E678">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224</w:t>
            </w:r>
          </w:p>
        </w:tc>
      </w:tr>
      <w:tr w14:paraId="0A42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50" w:type="pct"/>
            <w:vMerge w:val="continue"/>
            <w:vAlign w:val="center"/>
          </w:tcPr>
          <w:p w14:paraId="5BD360B5">
            <w:pPr>
              <w:spacing w:line="360" w:lineRule="exact"/>
              <w:ind w:firstLine="0" w:firstLineChars="0"/>
              <w:jc w:val="center"/>
              <w:rPr>
                <w:rFonts w:hint="default" w:ascii="Times New Roman" w:hAnsi="Times New Roman" w:cs="Times New Roman"/>
                <w:color w:val="auto"/>
                <w:sz w:val="24"/>
              </w:rPr>
            </w:pPr>
          </w:p>
        </w:tc>
        <w:tc>
          <w:tcPr>
            <w:tcW w:w="1645" w:type="pct"/>
            <w:vAlign w:val="center"/>
          </w:tcPr>
          <w:p w14:paraId="5731D446">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冲击钻</w:t>
            </w:r>
          </w:p>
        </w:tc>
        <w:tc>
          <w:tcPr>
            <w:tcW w:w="1052" w:type="pct"/>
            <w:vAlign w:val="center"/>
          </w:tcPr>
          <w:p w14:paraId="2DA95713">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24</w:t>
            </w:r>
          </w:p>
        </w:tc>
        <w:tc>
          <w:tcPr>
            <w:tcW w:w="1052" w:type="pct"/>
            <w:vAlign w:val="center"/>
          </w:tcPr>
          <w:p w14:paraId="547E3EFB">
            <w:pPr>
              <w:spacing w:line="360" w:lineRule="exact"/>
              <w:ind w:firstLine="0" w:firstLineChars="0"/>
              <w:jc w:val="center"/>
              <w:rPr>
                <w:rFonts w:hint="default" w:ascii="Times New Roman" w:hAnsi="Times New Roman" w:cs="Times New Roman"/>
                <w:color w:val="auto"/>
                <w:sz w:val="24"/>
              </w:rPr>
            </w:pPr>
            <w:r>
              <w:rPr>
                <w:rFonts w:hint="default" w:ascii="Times New Roman" w:hAnsi="Times New Roman" w:cs="Times New Roman"/>
                <w:color w:val="auto"/>
                <w:sz w:val="24"/>
              </w:rPr>
              <w:t>179</w:t>
            </w:r>
          </w:p>
        </w:tc>
      </w:tr>
    </w:tbl>
    <w:p w14:paraId="46F76098">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由以上数据分析可知，施工噪声夜间衰减到厂界外200米以上处才能达标，最大达标距离为400米。</w:t>
      </w:r>
    </w:p>
    <w:p w14:paraId="1B41785E">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针对工业噪声衰减情况，由于工业噪声源种类较多，数量分布各不相同，噪声衰减类型较多，参考《以噪声污染为主的工业企业卫生防护距离标准》（GB/T 18083-2000）</w:t>
      </w:r>
      <w:r>
        <w:rPr>
          <w:rFonts w:hint="eastAsia" w:cs="Times New Roman"/>
          <w:color w:val="auto"/>
          <w:lang w:eastAsia="zh-CN"/>
        </w:rPr>
        <w:t>，</w:t>
      </w:r>
      <w:r>
        <w:rPr>
          <w:rFonts w:hint="default" w:cs="Times New Roman"/>
          <w:color w:val="auto"/>
          <w:lang w:eastAsia="zh-CN"/>
        </w:rPr>
        <w:t>该标准规定了以噪声污染为主的工业企业与居住区之间所需的卫生防护距离，该标准中列出的卫生防护距离如下表</w:t>
      </w:r>
      <w:r>
        <w:rPr>
          <w:rFonts w:hint="eastAsia" w:cs="Times New Roman"/>
          <w:color w:val="auto"/>
          <w:lang w:val="en-US" w:eastAsia="zh-CN"/>
        </w:rPr>
        <w:t>4-16</w:t>
      </w:r>
      <w:r>
        <w:rPr>
          <w:rFonts w:hint="default" w:cs="Times New Roman"/>
          <w:color w:val="auto"/>
          <w:lang w:eastAsia="zh-CN"/>
        </w:rPr>
        <w:t>。</w:t>
      </w:r>
    </w:p>
    <w:p w14:paraId="39B37D20">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4-16</w:t>
      </w:r>
      <w:r>
        <w:rPr>
          <w:rFonts w:hint="default" w:eastAsia="黑体" w:cs="Times New Roman"/>
          <w:color w:val="auto"/>
          <w:sz w:val="21"/>
          <w:szCs w:val="21"/>
          <w:lang w:val="en-US" w:eastAsia="zh-CN"/>
        </w:rPr>
        <w:t xml:space="preserve"> 以噪声污染为主的工业企业卫生防护距离标准</w:t>
      </w:r>
    </w:p>
    <w:p w14:paraId="35D3F956">
      <w:pPr>
        <w:pStyle w:val="2"/>
        <w:spacing w:before="60" w:line="240" w:lineRule="auto"/>
        <w:ind w:firstLine="0" w:firstLineChars="0"/>
        <w:outlineLvl w:val="9"/>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6100445" cy="4864100"/>
            <wp:effectExtent l="0" t="0" r="14605" b="1270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8"/>
                    <a:stretch>
                      <a:fillRect/>
                    </a:stretch>
                  </pic:blipFill>
                  <pic:spPr>
                    <a:xfrm>
                      <a:off x="0" y="0"/>
                      <a:ext cx="6100445" cy="4875002"/>
                    </a:xfrm>
                    <a:prstGeom prst="rect">
                      <a:avLst/>
                    </a:prstGeom>
                  </pic:spPr>
                </pic:pic>
              </a:graphicData>
            </a:graphic>
          </wp:inline>
        </w:drawing>
      </w:r>
    </w:p>
    <w:p w14:paraId="2011216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由以上数据分析可知，工业企业内部产生噪声的车间或工段的边界至居住区边界的防护距离大部分在100米-300米，因此噪声衰减至敏感建筑物的达标距离可考虑设置在300米左右。</w:t>
      </w:r>
    </w:p>
    <w:p w14:paraId="4C3A1E24">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r>
        <w:rPr>
          <w:rFonts w:hint="default" w:cs="Times New Roman"/>
          <w:b/>
          <w:bCs/>
          <w:color w:val="auto"/>
          <w:lang w:eastAsia="zh-CN"/>
        </w:rPr>
        <w:fldChar w:fldCharType="begin"/>
      </w:r>
      <w:r>
        <w:rPr>
          <w:rFonts w:hint="default" w:cs="Times New Roman"/>
          <w:b/>
          <w:bCs/>
          <w:color w:val="auto"/>
          <w:lang w:eastAsia="zh-CN"/>
        </w:rPr>
        <w:instrText xml:space="preserve"> = 4 \* ROMAN </w:instrText>
      </w:r>
      <w:r>
        <w:rPr>
          <w:rFonts w:hint="default" w:cs="Times New Roman"/>
          <w:b/>
          <w:bCs/>
          <w:color w:val="auto"/>
          <w:lang w:eastAsia="zh-CN"/>
        </w:rPr>
        <w:fldChar w:fldCharType="separate"/>
      </w:r>
      <w:r>
        <w:rPr>
          <w:rFonts w:hint="default" w:cs="Times New Roman"/>
          <w:b/>
          <w:bCs/>
          <w:color w:val="auto"/>
          <w:lang w:eastAsia="zh-CN"/>
        </w:rPr>
        <w:t>IV</w:t>
      </w:r>
      <w:r>
        <w:rPr>
          <w:rFonts w:hint="default" w:cs="Times New Roman"/>
          <w:b/>
          <w:bCs/>
          <w:color w:val="auto"/>
          <w:lang w:eastAsia="zh-CN"/>
        </w:rPr>
        <w:fldChar w:fldCharType="end"/>
      </w:r>
      <w:r>
        <w:rPr>
          <w:rFonts w:hint="default" w:cs="Times New Roman"/>
          <w:b/>
          <w:bCs/>
          <w:color w:val="auto"/>
          <w:lang w:eastAsia="zh-CN"/>
        </w:rPr>
        <w:t>噪声敏感建筑物集中区域划定原则</w:t>
      </w:r>
    </w:p>
    <w:p w14:paraId="6CA322BE">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根据以上预测结果结合实测情况，列出各类噪声源衰减达标所需的距离，见表</w:t>
      </w:r>
      <w:r>
        <w:rPr>
          <w:rFonts w:hint="eastAsia" w:cs="Times New Roman"/>
          <w:color w:val="auto"/>
          <w:lang w:val="en-US" w:eastAsia="zh-CN"/>
        </w:rPr>
        <w:t>4-16</w:t>
      </w:r>
      <w:r>
        <w:rPr>
          <w:rFonts w:hint="default" w:cs="Times New Roman"/>
          <w:color w:val="auto"/>
          <w:lang w:eastAsia="zh-CN"/>
        </w:rPr>
        <w:t>。</w:t>
      </w:r>
    </w:p>
    <w:p w14:paraId="4978C0CB">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4-16</w:t>
      </w:r>
      <w:r>
        <w:rPr>
          <w:rFonts w:hint="default" w:eastAsia="黑体" w:cs="Times New Roman"/>
          <w:color w:val="auto"/>
          <w:sz w:val="21"/>
          <w:szCs w:val="21"/>
          <w:lang w:val="en-US" w:eastAsia="zh-CN"/>
        </w:rPr>
        <w:t xml:space="preserve"> 噪声源衰减达标距离确定</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5"/>
        <w:gridCol w:w="2465"/>
      </w:tblGrid>
      <w:tr w14:paraId="5D21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jc w:val="center"/>
        </w:trPr>
        <w:tc>
          <w:tcPr>
            <w:tcW w:w="1249" w:type="pct"/>
            <w:vAlign w:val="center"/>
          </w:tcPr>
          <w:p w14:paraId="388909A2">
            <w:pPr>
              <w:spacing w:line="240" w:lineRule="auto"/>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类型</w:t>
            </w:r>
          </w:p>
        </w:tc>
        <w:tc>
          <w:tcPr>
            <w:tcW w:w="1249" w:type="pct"/>
            <w:vAlign w:val="center"/>
          </w:tcPr>
          <w:p w14:paraId="7C43562D">
            <w:pPr>
              <w:spacing w:line="240" w:lineRule="auto"/>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交通</w:t>
            </w:r>
          </w:p>
        </w:tc>
        <w:tc>
          <w:tcPr>
            <w:tcW w:w="1250" w:type="pct"/>
            <w:vAlign w:val="center"/>
          </w:tcPr>
          <w:p w14:paraId="3E4E03BE">
            <w:pPr>
              <w:spacing w:line="240" w:lineRule="auto"/>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施工</w:t>
            </w:r>
          </w:p>
        </w:tc>
        <w:tc>
          <w:tcPr>
            <w:tcW w:w="1250" w:type="pct"/>
            <w:vAlign w:val="center"/>
          </w:tcPr>
          <w:p w14:paraId="51F2728E">
            <w:pPr>
              <w:spacing w:line="240" w:lineRule="auto"/>
              <w:ind w:firstLine="0" w:firstLineChars="0"/>
              <w:jc w:val="center"/>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rPr>
              <w:t>工业</w:t>
            </w:r>
          </w:p>
        </w:tc>
      </w:tr>
      <w:tr w14:paraId="03BD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249" w:type="pct"/>
            <w:vAlign w:val="center"/>
          </w:tcPr>
          <w:p w14:paraId="6A1CCFB5">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预测</w:t>
            </w:r>
          </w:p>
        </w:tc>
        <w:tc>
          <w:tcPr>
            <w:tcW w:w="1249" w:type="pct"/>
            <w:vAlign w:val="center"/>
          </w:tcPr>
          <w:p w14:paraId="6E594C6F">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35-300</w:t>
            </w:r>
          </w:p>
        </w:tc>
        <w:tc>
          <w:tcPr>
            <w:tcW w:w="1250" w:type="pct"/>
            <w:vAlign w:val="center"/>
          </w:tcPr>
          <w:p w14:paraId="72D63DED">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240-300</w:t>
            </w:r>
          </w:p>
        </w:tc>
        <w:tc>
          <w:tcPr>
            <w:tcW w:w="1250" w:type="pct"/>
            <w:vAlign w:val="center"/>
          </w:tcPr>
          <w:p w14:paraId="201293D4">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60-160</w:t>
            </w:r>
          </w:p>
        </w:tc>
      </w:tr>
      <w:tr w14:paraId="304C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1249" w:type="pct"/>
            <w:vAlign w:val="center"/>
          </w:tcPr>
          <w:p w14:paraId="2661B461">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实测</w:t>
            </w:r>
          </w:p>
        </w:tc>
        <w:tc>
          <w:tcPr>
            <w:tcW w:w="1249" w:type="pct"/>
            <w:vAlign w:val="center"/>
          </w:tcPr>
          <w:p w14:paraId="0D51AB0F">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&gt;200</w:t>
            </w:r>
          </w:p>
        </w:tc>
        <w:tc>
          <w:tcPr>
            <w:tcW w:w="1250" w:type="pct"/>
            <w:vAlign w:val="center"/>
          </w:tcPr>
          <w:p w14:paraId="111C0C4F">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100-400</w:t>
            </w:r>
          </w:p>
        </w:tc>
        <w:tc>
          <w:tcPr>
            <w:tcW w:w="1250" w:type="pct"/>
            <w:vAlign w:val="center"/>
          </w:tcPr>
          <w:p w14:paraId="7C10EC77">
            <w:pPr>
              <w:spacing w:line="240" w:lineRule="auto"/>
              <w:ind w:firstLine="0" w:firstLineChars="0"/>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100-300</w:t>
            </w:r>
          </w:p>
        </w:tc>
      </w:tr>
    </w:tbl>
    <w:p w14:paraId="1FEE5E00">
      <w:pPr>
        <w:keepNext w:val="0"/>
        <w:keepLines w:val="0"/>
        <w:pageBreakBefore w:val="0"/>
        <w:widowControl w:val="0"/>
        <w:kinsoku/>
        <w:wordWrap/>
        <w:overflowPunct/>
        <w:topLinePunct w:val="0"/>
        <w:autoSpaceDE/>
        <w:autoSpaceDN/>
        <w:bidi w:val="0"/>
        <w:spacing w:line="560" w:lineRule="exact"/>
        <w:ind w:firstLine="640"/>
        <w:textAlignment w:val="auto"/>
        <w:rPr>
          <w:rFonts w:hint="eastAsia" w:cs="Times New Roman"/>
          <w:color w:val="auto"/>
          <w:lang w:val="en-US" w:eastAsia="zh-CN"/>
        </w:rPr>
      </w:pPr>
      <w:r>
        <w:rPr>
          <w:rFonts w:hint="default" w:cs="Times New Roman"/>
          <w:color w:val="auto"/>
          <w:lang w:eastAsia="zh-CN"/>
        </w:rPr>
        <w:t>综合以上分析结果，</w:t>
      </w:r>
      <w:r>
        <w:rPr>
          <w:rFonts w:hint="eastAsia" w:cs="Times New Roman"/>
          <w:color w:val="auto"/>
          <w:lang w:eastAsia="zh-CN"/>
        </w:rPr>
        <w:t>本《规范》建议对划分单元中一、二类噪声敏感建筑物退让距离宜分别不少于</w:t>
      </w:r>
      <w:r>
        <w:rPr>
          <w:rFonts w:hint="eastAsia" w:cs="Times New Roman"/>
          <w:color w:val="auto"/>
          <w:lang w:val="en-US" w:eastAsia="zh-CN"/>
        </w:rPr>
        <w:t>300米及200米，在此基础上综合确定噪声敏感建筑物集中区域边界。</w:t>
      </w:r>
    </w:p>
    <w:p w14:paraId="5E7BF34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对于划分单元中的一类噪声敏感建筑物（建筑物群），将距离其边界一定（宜不少于300米）范围内划为噪声敏感建筑物集中区域；</w:t>
      </w:r>
    </w:p>
    <w:p w14:paraId="7378F1F1">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对于划分单元中的二类噪声敏感建筑物（建筑物群），将距离其边界一定（宜不少于200米）范围内划为噪声敏感建筑物集中区域。</w:t>
      </w:r>
    </w:p>
    <w:p w14:paraId="053E9DAA">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FF0000"/>
          <w:lang w:eastAsia="zh-CN"/>
        </w:rPr>
      </w:pPr>
      <w:r>
        <w:rPr>
          <w:rFonts w:hint="eastAsia" w:cs="Times New Roman"/>
          <w:color w:val="FF0000"/>
          <w:lang w:eastAsia="zh-CN"/>
        </w:rPr>
        <w:t>各区在划定过程中，可根据实际监测或模型预测结果调整相应距离。</w:t>
      </w:r>
    </w:p>
    <w:p w14:paraId="76E2864A">
      <w:pPr>
        <w:ind w:firstLine="643"/>
        <w:rPr>
          <w:rFonts w:hint="default" w:ascii="Times New Roman" w:hAnsi="Times New Roman" w:cs="Times New Roman"/>
          <w:b/>
          <w:bCs/>
          <w:color w:val="auto"/>
        </w:rPr>
      </w:pPr>
      <w:r>
        <w:rPr>
          <w:rFonts w:hint="default" w:ascii="Times New Roman" w:hAnsi="Times New Roman" w:cs="Times New Roman"/>
          <w:b/>
          <w:bCs/>
          <w:color w:val="auto"/>
        </w:rPr>
        <w:t>b开展划定</w:t>
      </w:r>
    </w:p>
    <w:p w14:paraId="69D3A7CC">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在南京市各区实际划分工作中，主城区与郊区呈现不同的区域性特征。本规范参照生态环境部《噪声敏感建筑物集中区域划分指导原则（讨论稿）》，采用两类划分方法。主城区如鼓楼、玄武、秦淮、建邺等辖区，区域内建筑多为住宅、学校、医院、机关单位和科研机构，均属于噪声敏感建筑物。经初步统计估算，以上辖区噪声敏感建筑物集中区域占比在80%左右，且规划及未来发展相对稳定，因此对于以上各区，推荐可采用排除法，排查梳理该辖区内非噪声敏感建筑物划分单元，将</w:t>
      </w:r>
      <w:bookmarkStart w:id="28" w:name="_Hlk194906365"/>
      <w:r>
        <w:rPr>
          <w:rFonts w:hint="default" w:cs="Times New Roman"/>
          <w:color w:val="auto"/>
          <w:lang w:eastAsia="zh-CN"/>
        </w:rPr>
        <w:t>以商业金融、集市贸易、工业生产、仓储物流为主要功能的区域或者公园、绿地、农田等空旷区域</w:t>
      </w:r>
      <w:bookmarkEnd w:id="28"/>
      <w:r>
        <w:rPr>
          <w:rFonts w:hint="default" w:cs="Times New Roman"/>
          <w:color w:val="auto"/>
          <w:lang w:eastAsia="zh-CN"/>
        </w:rPr>
        <w:t>排除后，在剩余区域基础上确定噪声敏感建筑物集中区域。对于其余各类郊区，由于商业金融、工业生产、仓储物流及空旷区域较多。</w:t>
      </w:r>
      <w:r>
        <w:rPr>
          <w:rFonts w:hint="eastAsia" w:cs="Times New Roman"/>
          <w:color w:val="auto"/>
          <w:lang w:eastAsia="zh-CN"/>
        </w:rPr>
        <w:t>可</w:t>
      </w:r>
      <w:r>
        <w:rPr>
          <w:rFonts w:hint="default" w:cs="Times New Roman"/>
          <w:color w:val="auto"/>
          <w:lang w:eastAsia="zh-CN"/>
        </w:rPr>
        <w:t>采用直接划分法，重点梳理辖区内噪声敏感建筑物划分单元。</w:t>
      </w:r>
    </w:p>
    <w:p w14:paraId="60091797">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针对噪声敏感建筑物及非噪声敏感建筑物位于同一建筑无法采用自然边界分开的情形，例如有酒店的商业楼及商住混用的商业楼，从保障居民声环境质量的角度考虑，将其按照噪声敏感建筑物划分单元进行管理。</w:t>
      </w:r>
    </w:p>
    <w:p w14:paraId="7A78DDDD">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在划分过程中，不论采用排除法还是直接划分法，都需要划出区划范围内划分单元（包括噪声敏感建筑物及非噪声敏感建筑物），建立划分单元统计清单，推荐列出划分单元分布图。采用排除法的，应至少列出非噪声敏感建筑物划分单元，记录其距离最近的噪声敏感建筑物划分单元；采用直接划分法的，应列出噪声敏感建筑物划分单元及重要的非敏感建筑物划分单元。</w:t>
      </w:r>
    </w:p>
    <w:p w14:paraId="1A2227BD">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fldChar w:fldCharType="begin"/>
      </w:r>
      <w:r>
        <w:rPr>
          <w:rFonts w:hint="default" w:cs="Times New Roman"/>
          <w:color w:val="auto"/>
          <w:lang w:eastAsia="zh-CN"/>
        </w:rPr>
        <w:instrText xml:space="preserve"> = 1 \* roman </w:instrText>
      </w:r>
      <w:r>
        <w:rPr>
          <w:rFonts w:hint="default" w:cs="Times New Roman"/>
          <w:color w:val="auto"/>
          <w:lang w:eastAsia="zh-CN"/>
        </w:rPr>
        <w:fldChar w:fldCharType="separate"/>
      </w:r>
      <w:r>
        <w:rPr>
          <w:rFonts w:hint="default" w:cs="Times New Roman"/>
          <w:color w:val="auto"/>
          <w:lang w:eastAsia="zh-CN"/>
        </w:rPr>
        <w:t>i</w:t>
      </w:r>
      <w:r>
        <w:rPr>
          <w:rFonts w:hint="default" w:cs="Times New Roman"/>
          <w:color w:val="auto"/>
          <w:lang w:eastAsia="zh-CN"/>
        </w:rPr>
        <w:fldChar w:fldCharType="end"/>
      </w:r>
      <w:r>
        <w:rPr>
          <w:rFonts w:hint="default" w:cs="Times New Roman"/>
          <w:color w:val="auto"/>
          <w:lang w:eastAsia="zh-CN"/>
        </w:rPr>
        <w:t>直接划分法</w:t>
      </w:r>
    </w:p>
    <w:p w14:paraId="3DBE088A">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针对噪声敏感建筑物（建筑物群）的分布情况，根据噪声敏感建筑物集中区域的确定原则直接进行划定。</w:t>
      </w:r>
    </w:p>
    <w:p w14:paraId="3E5A71D8">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（1）统计划分单元中噪声敏感建筑物（建筑物群）及重要的非噪声敏感建筑物（建筑物群）。</w:t>
      </w:r>
    </w:p>
    <w:p w14:paraId="2ECE51E6">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（2）将划分单元中的一类噪声敏感建筑物（建筑物群）和二类噪声敏感建筑物（建筑物群），根据6.2.1分别划定噪声敏感建筑物集中区域，多个相邻划分单元可连片。</w:t>
      </w:r>
    </w:p>
    <w:p w14:paraId="3C28A3A5">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（3）非交通干线分隔的多个噪声敏感建筑物集中区域可合并为一个连片噪声敏感建筑物集中区域，连片过程中可将周边的非噪声敏感建筑物（建筑物群）纳入，形成由多个最小划分单元组成的闭合区域。</w:t>
      </w:r>
    </w:p>
    <w:p w14:paraId="61DF6CF4">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（4）进行面积统计时，非交通干线作为集中区域内部道路合并统计。</w:t>
      </w:r>
    </w:p>
    <w:p w14:paraId="19F4DA2B">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fldChar w:fldCharType="begin"/>
      </w:r>
      <w:r>
        <w:rPr>
          <w:rFonts w:hint="default" w:cs="Times New Roman"/>
          <w:color w:val="auto"/>
          <w:lang w:eastAsia="zh-CN"/>
        </w:rPr>
        <w:instrText xml:space="preserve"> = 2 \* roman </w:instrText>
      </w:r>
      <w:r>
        <w:rPr>
          <w:rFonts w:hint="default" w:cs="Times New Roman"/>
          <w:color w:val="auto"/>
          <w:lang w:eastAsia="zh-CN"/>
        </w:rPr>
        <w:fldChar w:fldCharType="separate"/>
      </w:r>
      <w:r>
        <w:rPr>
          <w:rFonts w:hint="default" w:cs="Times New Roman"/>
          <w:color w:val="auto"/>
          <w:lang w:eastAsia="zh-CN"/>
        </w:rPr>
        <w:t>ii</w:t>
      </w:r>
      <w:r>
        <w:rPr>
          <w:rFonts w:hint="default" w:cs="Times New Roman"/>
          <w:color w:val="auto"/>
          <w:lang w:eastAsia="zh-CN"/>
        </w:rPr>
        <w:fldChar w:fldCharType="end"/>
      </w:r>
      <w:r>
        <w:rPr>
          <w:rFonts w:hint="default" w:cs="Times New Roman"/>
          <w:color w:val="auto"/>
          <w:lang w:eastAsia="zh-CN"/>
        </w:rPr>
        <w:t>排除法</w:t>
      </w:r>
    </w:p>
    <w:p w14:paraId="5E3912F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将以商业金融、集市贸易、工业生产、仓储物流为主要功能的区域或者公园、绿地、农田等空旷区域进行排除后，在剩余区域基础上确定噪声敏感建筑物集中区域。</w:t>
      </w:r>
    </w:p>
    <w:p w14:paraId="4E9875B3">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（1）统计划分单元中非噪声敏感建筑物（建筑物群）及距离最近的噪声敏感建筑物划分单元。</w:t>
      </w:r>
    </w:p>
    <w:p w14:paraId="49E83F2D">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（2）根据6.2.1噪声建筑物集中区域划定原则，分析非噪声敏感建筑物（建筑物群）周边情况，将部分非噪声敏感建筑物（建筑物群）剔除后纳入噪声敏感建筑物集中区域。</w:t>
      </w:r>
    </w:p>
    <w:p w14:paraId="65FB3AB9">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（3）将剔除后剩余的非噪声敏感建筑物（建筑物群）划为非噪声敏感建筑物集中区域，划定范围内其余区域为噪声敏感建筑物集中区域。</w:t>
      </w:r>
    </w:p>
    <w:p w14:paraId="00E8D9AE">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r>
        <w:rPr>
          <w:rFonts w:hint="default" w:cs="Times New Roman"/>
          <w:b/>
          <w:bCs/>
          <w:color w:val="auto"/>
          <w:lang w:eastAsia="zh-CN"/>
        </w:rPr>
        <w:t>C</w:t>
      </w:r>
      <w:r>
        <w:rPr>
          <w:rFonts w:hint="eastAsia" w:cs="Times New Roman"/>
          <w:b/>
          <w:bCs/>
          <w:color w:val="auto"/>
          <w:lang w:eastAsia="zh-CN"/>
        </w:rPr>
        <w:t>最小面积</w:t>
      </w:r>
      <w:r>
        <w:rPr>
          <w:rFonts w:hint="default" w:cs="Times New Roman"/>
          <w:b/>
          <w:bCs/>
          <w:color w:val="auto"/>
          <w:lang w:eastAsia="zh-CN"/>
        </w:rPr>
        <w:t>要求</w:t>
      </w:r>
    </w:p>
    <w:p w14:paraId="4CF12AD7">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eastAsia" w:cs="Times New Roman"/>
          <w:color w:val="auto"/>
          <w:lang w:eastAsia="zh-CN"/>
        </w:rPr>
        <w:t>我市</w:t>
      </w:r>
      <w:r>
        <w:rPr>
          <w:rFonts w:hint="default" w:cs="Times New Roman"/>
          <w:color w:val="auto"/>
          <w:lang w:eastAsia="zh-CN"/>
        </w:rPr>
        <w:t>单个噪声敏感建筑物集中区域的面积，参照生态环境部《噪声敏感建筑物集中区域划分指导原则（讨论稿）》</w:t>
      </w:r>
      <w:r>
        <w:rPr>
          <w:rFonts w:hint="eastAsia" w:cs="Times New Roman"/>
          <w:color w:val="auto"/>
          <w:lang w:eastAsia="zh-CN"/>
        </w:rPr>
        <w:t>，</w:t>
      </w:r>
      <w:r>
        <w:rPr>
          <w:rFonts w:hint="default" w:cs="Times New Roman"/>
          <w:color w:val="auto"/>
          <w:lang w:eastAsia="zh-CN"/>
        </w:rPr>
        <w:t>原则上不小于0.1km</w:t>
      </w:r>
      <w:r>
        <w:rPr>
          <w:rFonts w:hint="default" w:cs="Times New Roman"/>
          <w:color w:val="auto"/>
          <w:vertAlign w:val="superscript"/>
          <w:lang w:eastAsia="zh-CN"/>
        </w:rPr>
        <w:t>2</w:t>
      </w:r>
      <w:r>
        <w:rPr>
          <w:rFonts w:hint="default" w:cs="Times New Roman"/>
          <w:color w:val="auto"/>
          <w:lang w:eastAsia="zh-CN"/>
        </w:rPr>
        <w:t>。</w:t>
      </w:r>
    </w:p>
    <w:p w14:paraId="3F86F4F9">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对于某些区中划分单元面积较小的情况，本文件又根据管理需要，加入了“实际划分中，可根据管理需求、地形特征或人口密度等确定适宜的区域面积，但应进行说明”的相关内容。</w:t>
      </w:r>
    </w:p>
    <w:p w14:paraId="1C30DCD2">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r>
        <w:rPr>
          <w:rFonts w:hint="default" w:cs="Times New Roman"/>
          <w:b/>
          <w:bCs/>
          <w:color w:val="auto"/>
          <w:lang w:eastAsia="zh-CN"/>
        </w:rPr>
        <w:fldChar w:fldCharType="begin"/>
      </w:r>
      <w:r>
        <w:rPr>
          <w:rFonts w:hint="default" w:cs="Times New Roman"/>
          <w:b/>
          <w:bCs/>
          <w:color w:val="auto"/>
          <w:lang w:eastAsia="zh-CN"/>
        </w:rPr>
        <w:instrText xml:space="preserve"> = 4 \* GB3 </w:instrText>
      </w:r>
      <w:r>
        <w:rPr>
          <w:rFonts w:hint="default" w:cs="Times New Roman"/>
          <w:b/>
          <w:bCs/>
          <w:color w:val="auto"/>
          <w:lang w:eastAsia="zh-CN"/>
        </w:rPr>
        <w:fldChar w:fldCharType="separate"/>
      </w:r>
      <w:r>
        <w:rPr>
          <w:rFonts w:hint="default" w:cs="Times New Roman"/>
          <w:b/>
          <w:bCs/>
          <w:color w:val="auto"/>
          <w:lang w:eastAsia="zh-CN"/>
        </w:rPr>
        <w:t>④</w:t>
      </w:r>
      <w:r>
        <w:rPr>
          <w:rFonts w:hint="default" w:cs="Times New Roman"/>
          <w:b/>
          <w:bCs/>
          <w:color w:val="auto"/>
          <w:lang w:eastAsia="zh-CN"/>
        </w:rPr>
        <w:fldChar w:fldCharType="end"/>
      </w:r>
      <w:r>
        <w:rPr>
          <w:rFonts w:hint="default" w:cs="Times New Roman"/>
          <w:b/>
          <w:bCs/>
          <w:color w:val="auto"/>
          <w:lang w:eastAsia="zh-CN"/>
        </w:rPr>
        <w:t>优化调整</w:t>
      </w:r>
    </w:p>
    <w:p w14:paraId="709D10D6">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color w:val="auto"/>
          <w:lang w:eastAsia="zh-CN"/>
        </w:rPr>
      </w:pPr>
      <w:r>
        <w:rPr>
          <w:rFonts w:hint="default" w:cs="Times New Roman"/>
          <w:color w:val="auto"/>
          <w:lang w:eastAsia="zh-CN"/>
        </w:rPr>
        <w:t>噪声敏感建筑物集中区域的划定，主要目的是积极满足人民群众对宁静优美生活环境的强烈需求，保护和改善声环境质量。因此在划定过程中，推荐针对初步划定的非噪声敏感建筑物集中区域，叠加噪声信访投诉分布情况，结合声环境质量监测数据对其范围进行分析、优化、调整。</w:t>
      </w:r>
      <w:r>
        <w:rPr>
          <w:rFonts w:hint="eastAsia" w:cs="Times New Roman"/>
          <w:color w:val="auto"/>
          <w:lang w:eastAsia="zh-CN"/>
        </w:rPr>
        <w:t>目的是</w:t>
      </w:r>
      <w:r>
        <w:rPr>
          <w:rFonts w:hint="default" w:cs="Times New Roman"/>
          <w:color w:val="auto"/>
          <w:lang w:eastAsia="zh-CN"/>
        </w:rPr>
        <w:t>尽可能从保护群众声环境角度出发，体现噪声敏感建筑物集中区域的划定意义。</w:t>
      </w:r>
    </w:p>
    <w:p w14:paraId="7BEE7AAE">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r>
        <w:rPr>
          <w:rFonts w:hint="default" w:cs="Times New Roman"/>
          <w:b/>
          <w:bCs/>
          <w:color w:val="auto"/>
          <w:lang w:eastAsia="zh-CN"/>
        </w:rPr>
        <w:fldChar w:fldCharType="begin"/>
      </w:r>
      <w:r>
        <w:rPr>
          <w:rFonts w:hint="default" w:cs="Times New Roman"/>
          <w:b/>
          <w:bCs/>
          <w:color w:val="auto"/>
          <w:lang w:eastAsia="zh-CN"/>
        </w:rPr>
        <w:instrText xml:space="preserve"> = 5 \* GB3 </w:instrText>
      </w:r>
      <w:r>
        <w:rPr>
          <w:rFonts w:hint="default" w:cs="Times New Roman"/>
          <w:b/>
          <w:bCs/>
          <w:color w:val="auto"/>
          <w:lang w:eastAsia="zh-CN"/>
        </w:rPr>
        <w:fldChar w:fldCharType="separate"/>
      </w:r>
      <w:r>
        <w:rPr>
          <w:rFonts w:hint="default" w:cs="Times New Roman"/>
          <w:b/>
          <w:bCs/>
          <w:color w:val="auto"/>
          <w:lang w:eastAsia="zh-CN"/>
        </w:rPr>
        <w:t>⑤</w:t>
      </w:r>
      <w:r>
        <w:rPr>
          <w:rFonts w:hint="default" w:cs="Times New Roman"/>
          <w:b/>
          <w:bCs/>
          <w:color w:val="auto"/>
          <w:lang w:eastAsia="zh-CN"/>
        </w:rPr>
        <w:fldChar w:fldCharType="end"/>
      </w:r>
      <w:r>
        <w:rPr>
          <w:rFonts w:hint="default" w:cs="Times New Roman"/>
          <w:b/>
          <w:bCs/>
          <w:color w:val="auto"/>
          <w:lang w:eastAsia="zh-CN"/>
        </w:rPr>
        <w:t>清单制图</w:t>
      </w:r>
    </w:p>
    <w:p w14:paraId="4523D4EB">
      <w:pPr>
        <w:keepNext w:val="0"/>
        <w:keepLines w:val="0"/>
        <w:pageBreakBefore w:val="0"/>
        <w:widowControl w:val="0"/>
        <w:kinsoku/>
        <w:wordWrap/>
        <w:overflowPunct/>
        <w:topLinePunct w:val="0"/>
        <w:autoSpaceDE/>
        <w:autoSpaceDN/>
        <w:bidi w:val="0"/>
        <w:spacing w:line="560" w:lineRule="exact"/>
        <w:ind w:firstLine="640"/>
        <w:textAlignment w:val="auto"/>
        <w:rPr>
          <w:rFonts w:hint="eastAsia" w:eastAsia="方正仿宋_GBK" w:cs="Times New Roman"/>
          <w:color w:val="auto"/>
          <w:lang w:val="en-US" w:eastAsia="zh-CN"/>
        </w:rPr>
      </w:pPr>
      <w:r>
        <w:rPr>
          <w:rFonts w:hint="default" w:cs="Times New Roman"/>
          <w:color w:val="auto"/>
          <w:lang w:eastAsia="zh-CN"/>
        </w:rPr>
        <w:t>建立噪声敏感建筑物集中区域及非噪声敏感建筑物集中区域统计清单及分布图。</w:t>
      </w:r>
      <w:r>
        <w:rPr>
          <w:rFonts w:hint="eastAsia" w:cs="Times New Roman"/>
          <w:color w:val="auto"/>
          <w:lang w:eastAsia="zh-CN"/>
        </w:rPr>
        <w:t>示例见图</w:t>
      </w:r>
      <w:r>
        <w:rPr>
          <w:rFonts w:hint="eastAsia" w:cs="Times New Roman"/>
          <w:color w:val="auto"/>
          <w:lang w:val="en-US" w:eastAsia="zh-CN"/>
        </w:rPr>
        <w:t>4-7。</w:t>
      </w:r>
    </w:p>
    <w:p w14:paraId="7F2C93CF">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800725" cy="2401570"/>
            <wp:effectExtent l="0" t="0" r="952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800725" cy="2401570"/>
                    </a:xfrm>
                    <a:prstGeom prst="rect">
                      <a:avLst/>
                    </a:prstGeom>
                  </pic:spPr>
                </pic:pic>
              </a:graphicData>
            </a:graphic>
          </wp:inline>
        </w:drawing>
      </w:r>
    </w:p>
    <w:p w14:paraId="6C2F711F">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图</w:t>
      </w:r>
      <w:r>
        <w:rPr>
          <w:rFonts w:hint="eastAsia" w:eastAsia="黑体" w:cs="Times New Roman"/>
          <w:color w:val="auto"/>
          <w:sz w:val="21"/>
          <w:szCs w:val="21"/>
          <w:lang w:val="en-US" w:eastAsia="zh-CN"/>
        </w:rPr>
        <w:t xml:space="preserve">4-7 </w:t>
      </w:r>
      <w:r>
        <w:rPr>
          <w:rFonts w:hint="default" w:eastAsia="黑体" w:cs="Times New Roman"/>
          <w:color w:val="auto"/>
          <w:sz w:val="21"/>
          <w:szCs w:val="21"/>
          <w:lang w:val="en-US" w:eastAsia="zh-CN"/>
        </w:rPr>
        <w:t>噪声敏感建筑物集中区域划分示例图</w:t>
      </w:r>
    </w:p>
    <w:p w14:paraId="50869F61">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bookmarkStart w:id="29" w:name="_Toc11421"/>
      <w:r>
        <w:rPr>
          <w:rFonts w:hint="default" w:cs="Times New Roman"/>
          <w:b/>
          <w:bCs/>
          <w:color w:val="auto"/>
          <w:lang w:eastAsia="zh-CN"/>
        </w:rPr>
        <w:t>4.2.8划定成果</w:t>
      </w:r>
      <w:bookmarkEnd w:id="29"/>
    </w:p>
    <w:p w14:paraId="1A4A4B03">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噪声敏感建筑物集中区域划定成果主要包括噪声敏感建筑物集中区域的划分方案（含划分图）和技术报告。划分图包括建筑物划分单元和噪声敏感建筑物集中区域的分布成果图。</w:t>
      </w:r>
    </w:p>
    <w:p w14:paraId="2F2C6A1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成果图集分为划分单元分布图和噪声敏感建筑物集中区域分布图</w:t>
      </w:r>
      <w:r>
        <w:rPr>
          <w:rFonts w:hint="eastAsia" w:cs="Times New Roman"/>
          <w:b w:val="0"/>
          <w:bCs w:val="0"/>
          <w:color w:val="auto"/>
          <w:lang w:eastAsia="zh-CN"/>
        </w:rPr>
        <w:t>。</w:t>
      </w:r>
      <w:r>
        <w:rPr>
          <w:rFonts w:hint="default" w:cs="Times New Roman"/>
          <w:b w:val="0"/>
          <w:bCs w:val="0"/>
          <w:color w:val="auto"/>
          <w:lang w:eastAsia="zh-CN"/>
        </w:rPr>
        <w:t>其中划分单元分布图可附在技术报告内</w:t>
      </w:r>
      <w:r>
        <w:rPr>
          <w:rFonts w:hint="eastAsia" w:cs="Times New Roman"/>
          <w:b w:val="0"/>
          <w:bCs w:val="0"/>
          <w:color w:val="auto"/>
          <w:lang w:eastAsia="zh-CN"/>
        </w:rPr>
        <w:t>；</w:t>
      </w:r>
      <w:r>
        <w:rPr>
          <w:rFonts w:hint="default" w:cs="Times New Roman"/>
          <w:b w:val="0"/>
          <w:bCs w:val="0"/>
          <w:color w:val="auto"/>
          <w:lang w:eastAsia="zh-CN"/>
        </w:rPr>
        <w:t>噪声敏感建筑物集中区域分布图需单独绘制并附在划定方案内。</w:t>
      </w:r>
    </w:p>
    <w:p w14:paraId="55EDB596">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成果图图幅大小原则上以A3为准</w:t>
      </w:r>
      <w:r>
        <w:rPr>
          <w:rFonts w:hint="eastAsia" w:cs="Times New Roman"/>
          <w:b w:val="0"/>
          <w:bCs w:val="0"/>
          <w:color w:val="auto"/>
          <w:lang w:eastAsia="zh-CN"/>
        </w:rPr>
        <w:t>，</w:t>
      </w:r>
      <w:r>
        <w:rPr>
          <w:rFonts w:hint="default" w:cs="Times New Roman"/>
          <w:b w:val="0"/>
          <w:bCs w:val="0"/>
          <w:color w:val="auto"/>
          <w:lang w:eastAsia="zh-CN"/>
        </w:rPr>
        <w:t>可根据行政区划大小、噪声敏感建筑物集中区域分布情况等选定比例尺或采用分幅方式成图。</w:t>
      </w:r>
    </w:p>
    <w:p w14:paraId="1B5C2A2A">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成果图应包含基础信息要素和专题信息要素。其中：</w:t>
      </w:r>
    </w:p>
    <w:p w14:paraId="39CA4B99">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 xml:space="preserve">a) 基础信息要素应包含但不限于行政界线（制图区域内地级城市表达到市辖区行政界线，县级城市表达到乡（镇）或街道行政界线，制图区域外表达到省、市或区（县）行政界线）、城镇开发边界范围、地形地貌、水系、道路、内河航道等； </w:t>
      </w:r>
    </w:p>
    <w:p w14:paraId="20C30B38">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 xml:space="preserve">b) 专题要素应主要包含划定单元及噪声敏感建筑物集中区域等。 </w:t>
      </w:r>
    </w:p>
    <w:p w14:paraId="759226A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图幅配置应包含图名、图廓、指北针、比例尺、图例等内容。</w:t>
      </w:r>
    </w:p>
    <w:p w14:paraId="6E1AD040">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噪声敏感建筑物集中区域的划分成果既是技术成果，也是各区开展划分方案论证、集中区域审批和环境管理的重要依据。因此，规范统一的划分方案和图件是集中区域规范化管理的重要组成部分。针对现行声环境功能区划技术规范实施过程中，各区在方案编制、表格整理、图件制作等方面存在的内容不统一，数据不完善，图件要素不完整、图例不规范、成图格式不标准等问题，本文件在附录中增加了对表格和图件编制的要求，以提高全市区划成果的规范性。</w:t>
      </w:r>
    </w:p>
    <w:p w14:paraId="0339C7B3">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bookmarkStart w:id="30" w:name="_Toc15026"/>
      <w:r>
        <w:rPr>
          <w:rFonts w:hint="default" w:cs="Times New Roman"/>
          <w:b/>
          <w:bCs/>
          <w:color w:val="auto"/>
          <w:lang w:eastAsia="zh-CN"/>
        </w:rPr>
        <w:t>4.2.9专家评审及征求意见</w:t>
      </w:r>
      <w:bookmarkEnd w:id="30"/>
    </w:p>
    <w:p w14:paraId="5A3AB5F1">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噪声敏感建筑物集中区域划定作为一项技术工作，需由行业专家进行论证，由各区生态环境行政主管部门组织召开专家评审会，修改后征求相关部门、地区意见，在此基础上进行调整。</w:t>
      </w:r>
    </w:p>
    <w:p w14:paraId="6D30FA6A">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bookmarkStart w:id="31" w:name="_Toc14347"/>
      <w:r>
        <w:rPr>
          <w:rFonts w:hint="default" w:cs="Times New Roman"/>
          <w:b/>
          <w:bCs/>
          <w:color w:val="auto"/>
          <w:lang w:eastAsia="zh-CN"/>
        </w:rPr>
        <w:t>4.2.10公布实施</w:t>
      </w:r>
      <w:bookmarkEnd w:id="31"/>
    </w:p>
    <w:p w14:paraId="5FB01BF9">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根据《新噪声法》要求：县级以上人民政府划定本辖区内噪声敏感建筑物集中区域，并向社会公布。因此本规范规定属地行政主管部门将划定方案报当地人民政府审批、公布实施。</w:t>
      </w:r>
    </w:p>
    <w:p w14:paraId="6EB15D34">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bCs/>
          <w:color w:val="auto"/>
          <w:lang w:eastAsia="zh-CN"/>
        </w:rPr>
      </w:pPr>
      <w:bookmarkStart w:id="32" w:name="_Toc18597"/>
      <w:r>
        <w:rPr>
          <w:rFonts w:hint="default" w:cs="Times New Roman"/>
          <w:b/>
          <w:bCs/>
          <w:color w:val="auto"/>
          <w:lang w:eastAsia="zh-CN"/>
        </w:rPr>
        <w:t>4.2.11其他规定</w:t>
      </w:r>
      <w:bookmarkEnd w:id="32"/>
    </w:p>
    <w:p w14:paraId="25519405">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本文件明确了噪声敏感建筑物集中区域划定过程中的其他规定，主要包括以下两个方面：</w:t>
      </w:r>
    </w:p>
    <w:p w14:paraId="175C91DB">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default" w:cs="Times New Roman"/>
          <w:b w:val="0"/>
          <w:bCs w:val="0"/>
          <w:color w:val="auto"/>
          <w:lang w:eastAsia="zh-CN"/>
        </w:rPr>
        <w:t>（1）噪声敏感建筑物集中区域的管理按照《中华人民共和国噪声污染防治法》及有关法律法规要求的规定执行，同时可</w:t>
      </w:r>
      <w:r>
        <w:rPr>
          <w:rFonts w:hint="eastAsia" w:cs="Times New Roman"/>
          <w:b w:val="0"/>
          <w:bCs w:val="0"/>
          <w:color w:val="auto"/>
          <w:lang w:eastAsia="zh-CN"/>
        </w:rPr>
        <w:t>依据</w:t>
      </w:r>
      <w:r>
        <w:rPr>
          <w:rFonts w:hint="default" w:cs="Times New Roman"/>
          <w:b w:val="0"/>
          <w:bCs w:val="0"/>
          <w:color w:val="auto"/>
          <w:lang w:eastAsia="zh-CN"/>
        </w:rPr>
        <w:t>南京市及各辖区噪声污染防治规定制定相关管理要求执行。</w:t>
      </w:r>
    </w:p>
    <w:p w14:paraId="540F7F93">
      <w:pPr>
        <w:keepNext w:val="0"/>
        <w:keepLines w:val="0"/>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rPr>
      </w:pPr>
      <w:r>
        <w:rPr>
          <w:rFonts w:hint="default" w:cs="Times New Roman"/>
          <w:b w:val="0"/>
          <w:bCs w:val="0"/>
          <w:color w:val="auto"/>
          <w:lang w:eastAsia="zh-CN"/>
        </w:rPr>
        <w:t>（2）根据区域城建开发、建筑物实际使用功能调整、噪声管理要求等情况，适时对噪声敏感建筑物集中区域实施动态修编。当地人民</w:t>
      </w:r>
      <w:r>
        <w:rPr>
          <w:rFonts w:hint="default" w:ascii="Times New Roman" w:hAnsi="Times New Roman" w:cs="Times New Roman"/>
          <w:color w:val="auto"/>
          <w:szCs w:val="32"/>
        </w:rPr>
        <w:t>政府可授权生态环境主管部门在一定范围内实施调整报备管理，超过授权范围的，需经当地人民政府审定后重新发布。</w:t>
      </w:r>
    </w:p>
    <w:p w14:paraId="572983C7">
      <w:pPr>
        <w:keepNext w:val="0"/>
        <w:keepLines w:val="0"/>
        <w:pageBreakBefore w:val="0"/>
        <w:widowControl w:val="0"/>
        <w:kinsoku/>
        <w:wordWrap/>
        <w:overflowPunct/>
        <w:topLinePunct w:val="0"/>
        <w:autoSpaceDE/>
        <w:autoSpaceDN/>
        <w:bidi w:val="0"/>
        <w:spacing w:line="560" w:lineRule="exact"/>
        <w:ind w:firstLine="640"/>
        <w:textAlignment w:val="auto"/>
        <w:rPr>
          <w:rFonts w:hint="default" w:cs="Times New Roman"/>
          <w:b w:val="0"/>
          <w:bCs w:val="0"/>
          <w:color w:val="auto"/>
          <w:lang w:eastAsia="zh-CN"/>
        </w:rPr>
      </w:pPr>
      <w:r>
        <w:rPr>
          <w:rFonts w:hint="eastAsia" w:cs="Times New Roman"/>
          <w:b w:val="0"/>
          <w:bCs w:val="0"/>
          <w:color w:val="auto"/>
          <w:lang w:eastAsia="zh-CN"/>
        </w:rPr>
        <w:t>本条</w:t>
      </w:r>
      <w:r>
        <w:rPr>
          <w:rFonts w:hint="default" w:cs="Times New Roman"/>
          <w:b w:val="0"/>
          <w:bCs w:val="0"/>
          <w:color w:val="auto"/>
          <w:lang w:eastAsia="zh-CN"/>
        </w:rPr>
        <w:t>是考虑到噪声敏感建筑物的划定和国土空间规划、用地类别、建筑分类和分布变化等密切相关，需遵循噪声敏感建筑物集中区域动态调整的基本原则。</w:t>
      </w:r>
    </w:p>
    <w:p w14:paraId="12D11B98">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643"/>
        <w:textAlignment w:val="auto"/>
        <w:rPr>
          <w:rFonts w:hint="default" w:ascii="方正黑体_GBK" w:hAnsi="方正黑体_GBK" w:eastAsia="方正黑体_GBK" w:cs="方正黑体_GBK"/>
          <w:b w:val="0"/>
          <w:bCs w:val="0"/>
          <w:color w:val="auto"/>
        </w:rPr>
      </w:pPr>
      <w:bookmarkStart w:id="33" w:name="_Toc16023"/>
      <w:r>
        <w:rPr>
          <w:rFonts w:hint="eastAsia" w:ascii="方正黑体_GBK" w:hAnsi="方正黑体_GBK" w:eastAsia="方正黑体_GBK" w:cs="方正黑体_GBK"/>
          <w:b w:val="0"/>
          <w:bCs w:val="0"/>
          <w:color w:val="auto"/>
          <w:lang w:eastAsia="zh-CN"/>
        </w:rPr>
        <w:t>五</w:t>
      </w:r>
      <w:r>
        <w:rPr>
          <w:rFonts w:hint="default" w:ascii="方正黑体_GBK" w:hAnsi="方正黑体_GBK" w:eastAsia="方正黑体_GBK" w:cs="方正黑体_GBK"/>
          <w:b w:val="0"/>
          <w:bCs w:val="0"/>
          <w:color w:val="auto"/>
        </w:rPr>
        <w:t>、与相关法律法规和国家标准、行业标准、江苏省地方标准的关系</w:t>
      </w:r>
      <w:bookmarkEnd w:id="33"/>
    </w:p>
    <w:p w14:paraId="486D289E">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color w:val="auto"/>
        </w:rPr>
      </w:pPr>
      <w:bookmarkStart w:id="34" w:name="_Toc24684"/>
      <w:r>
        <w:rPr>
          <w:rFonts w:hint="eastAsia" w:ascii="Times New Roman" w:hAnsi="Times New Roman" w:eastAsia="方正仿宋_GBK" w:cs="Times New Roman"/>
          <w:color w:val="auto"/>
          <w:lang w:val="en-US" w:eastAsia="zh-CN"/>
        </w:rPr>
        <w:t>5</w:t>
      </w:r>
      <w:r>
        <w:rPr>
          <w:rFonts w:hint="default" w:ascii="Times New Roman" w:hAnsi="Times New Roman" w:eastAsia="方正仿宋_GBK" w:cs="Times New Roman"/>
          <w:color w:val="auto"/>
        </w:rPr>
        <w:t>.1与相关法律法规的关系</w:t>
      </w:r>
      <w:bookmarkEnd w:id="34"/>
    </w:p>
    <w:p w14:paraId="63B04280">
      <w:pPr>
        <w:pageBreakBefore w:val="0"/>
        <w:kinsoku/>
        <w:wordWrap/>
        <w:overflowPunct/>
        <w:topLinePunct w:val="0"/>
        <w:autoSpaceDE/>
        <w:autoSpaceDN/>
        <w:bidi w:val="0"/>
        <w:adjustRightInd/>
        <w:snapToGrid/>
        <w:spacing w:line="560" w:lineRule="exact"/>
        <w:ind w:firstLine="640"/>
        <w:textAlignment w:val="auto"/>
        <w:rPr>
          <w:rFonts w:hint="eastAsia" w:ascii="Times New Roman" w:hAnsi="Times New Roman" w:eastAsia="方正仿宋_GBK" w:cs="Times New Roman"/>
          <w:color w:val="auto"/>
          <w:lang w:eastAsia="zh-CN"/>
        </w:rPr>
      </w:pPr>
      <w:r>
        <w:rPr>
          <w:rFonts w:hint="default" w:ascii="Times New Roman" w:hAnsi="Times New Roman" w:cs="Times New Roman"/>
          <w:color w:val="auto"/>
        </w:rPr>
        <w:t>“新噪声法”首先对噪声敏感建筑物及噪声敏感建筑物集中区域的定义作了明确，前者是指用于居住、科学研究、医疗卫生、文化教育、机关团体办公、社会福利等需要保持安静的建筑物，后者是指用于居住、科学研究、医疗卫生、文化教育、机关团体办公、社会福利等的建筑物为主的区域。其次，“新噪声法”规定了划定主体为县级以上地方人民政府，划定范围应当向社会公布。此外，《新噪声法》明确了在噪声敏感建筑物集中区域内涵盖噪声管理（工业、交通、建筑施工、社会生活、标准规划、法律责任）等各个方面的要求。</w:t>
      </w:r>
    </w:p>
    <w:p w14:paraId="61F232DE">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color w:val="auto"/>
        </w:rPr>
      </w:pPr>
      <w:bookmarkStart w:id="35" w:name="_Toc16161"/>
      <w:r>
        <w:rPr>
          <w:rFonts w:hint="eastAsia" w:ascii="Times New Roman" w:hAnsi="Times New Roman" w:eastAsia="方正仿宋_GBK" w:cs="Times New Roman"/>
          <w:color w:val="auto"/>
          <w:lang w:val="en-US" w:eastAsia="zh-CN"/>
        </w:rPr>
        <w:t>5</w:t>
      </w:r>
      <w:r>
        <w:rPr>
          <w:rFonts w:hint="default" w:ascii="Times New Roman" w:hAnsi="Times New Roman" w:eastAsia="方正仿宋_GBK" w:cs="Times New Roman"/>
          <w:color w:val="auto"/>
        </w:rPr>
        <w:t>.2与现行国家标准的关系</w:t>
      </w:r>
      <w:bookmarkEnd w:id="35"/>
    </w:p>
    <w:p w14:paraId="6F84377F">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声环境质量标准》(GB3096-2008)于2008年10月1日起施行，该标准规定了五类声环境功能区的环境噪声限值及测量方法，适用于声环境质量评价与管理。该标准规定了噪声敏感建筑物监测方法，以了解噪声敏感建筑物户外（或室内）的环境噪声水平，评价是否符合所处声环境功能区的环境质量要求。</w:t>
      </w:r>
    </w:p>
    <w:p w14:paraId="4BA6E766">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声环境功能区划分技术规范》（GB/T15190-2014）主要用于指导城市声环境功能区的划分工作，并未涉及噪声敏感建筑物集中区域的划分方法和管理规定。从划分方法上来看，声环境功能区划以城市规划为指导，按区域规划用地的主导功能、用地现状确定。而敏感建筑物集中区域划分则以建筑物的实际使用功能及敏感建筑物的密集程度作为划分标准；声环境功能区划侧重于对声环境质量标准的落实管控，而噪声敏感建筑物集中区域则侧重于对区划范围内噪声管理的行为管控，这两个规范属于噪声管理的两个范畴。</w:t>
      </w:r>
    </w:p>
    <w:p w14:paraId="592A8114">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color w:val="auto"/>
        </w:rPr>
      </w:pPr>
      <w:bookmarkStart w:id="36" w:name="_Toc10460"/>
      <w:r>
        <w:rPr>
          <w:rFonts w:hint="eastAsia" w:ascii="Times New Roman" w:hAnsi="Times New Roman" w:eastAsia="方正仿宋_GBK" w:cs="Times New Roman"/>
          <w:color w:val="auto"/>
          <w:lang w:val="en-US" w:eastAsia="zh-CN"/>
        </w:rPr>
        <w:t>5</w:t>
      </w:r>
      <w:r>
        <w:rPr>
          <w:rFonts w:hint="default" w:ascii="Times New Roman" w:hAnsi="Times New Roman" w:eastAsia="方正仿宋_GBK" w:cs="Times New Roman"/>
          <w:color w:val="auto"/>
        </w:rPr>
        <w:t>.3与江苏省地方标准的关系</w:t>
      </w:r>
      <w:bookmarkEnd w:id="36"/>
    </w:p>
    <w:p w14:paraId="7C2D8562">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eastAsia" w:ascii="Times New Roman" w:hAnsi="Times New Roman" w:eastAsia="方正仿宋_GBK" w:cs="Times New Roman"/>
          <w:color w:val="auto"/>
          <w:lang w:eastAsia="zh-CN"/>
        </w:rPr>
      </w:pPr>
      <w:r>
        <w:rPr>
          <w:rFonts w:hint="default" w:ascii="Times New Roman" w:hAnsi="Times New Roman" w:cs="Times New Roman"/>
          <w:color w:val="auto"/>
        </w:rPr>
        <w:t>《江苏省环境噪声污染防治条例》于2018年3月28日修订，该条例适用于江苏省行政区域内环境噪声污染的防治及其监督管理。针对交通、工业、建筑施工、社会生活噪声的管理，该条例明确了在噪声敏感建筑物集中区域范围内采取的防治措施及行为要求。</w:t>
      </w:r>
    </w:p>
    <w:p w14:paraId="0F556184">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color w:val="auto"/>
          <w:lang w:val="en-US" w:eastAsia="zh-CN"/>
        </w:rPr>
      </w:pPr>
      <w:bookmarkStart w:id="37" w:name="_Toc8906"/>
      <w:r>
        <w:rPr>
          <w:rFonts w:hint="eastAsia" w:ascii="Times New Roman" w:hAnsi="Times New Roman" w:eastAsia="方正仿宋_GBK" w:cs="Times New Roman"/>
          <w:color w:val="auto"/>
          <w:lang w:val="en-US" w:eastAsia="zh-CN"/>
        </w:rPr>
        <w:t>5</w:t>
      </w:r>
      <w:r>
        <w:rPr>
          <w:rFonts w:hint="default" w:ascii="Times New Roman" w:hAnsi="Times New Roman" w:eastAsia="方正仿宋_GBK" w:cs="Times New Roman"/>
          <w:color w:val="auto"/>
          <w:lang w:val="en-US" w:eastAsia="zh-CN"/>
        </w:rPr>
        <w:t>.4目前国内其他地方标准介绍</w:t>
      </w:r>
      <w:bookmarkEnd w:id="37"/>
    </w:p>
    <w:p w14:paraId="36EAAE5A">
      <w:pPr>
        <w:pageBreakBefore w:val="0"/>
        <w:kinsoku/>
        <w:wordWrap/>
        <w:overflowPunct/>
        <w:topLinePunct w:val="0"/>
        <w:autoSpaceDE/>
        <w:autoSpaceDN/>
        <w:bidi w:val="0"/>
        <w:adjustRightInd/>
        <w:snapToGrid/>
        <w:spacing w:line="560" w:lineRule="exact"/>
        <w:ind w:firstLine="640"/>
        <w:textAlignment w:val="auto"/>
        <w:rPr>
          <w:rFonts w:hint="default" w:ascii="Times New Roman" w:hAnsi="Times New Roman" w:cs="Times New Roman"/>
          <w:color w:val="auto"/>
        </w:rPr>
      </w:pPr>
      <w:r>
        <w:rPr>
          <w:rFonts w:hint="default" w:ascii="Times New Roman" w:hAnsi="Times New Roman" w:cs="Times New Roman"/>
          <w:color w:val="auto"/>
        </w:rPr>
        <w:t>生态环境部组织北京朝阳区、内蒙古鄂尔多斯、江苏南京、浙江绍兴和金华、江西南昌、山东烟台和东营、河南商丘和三门峡等10个市（区）试点开展噪声敏感建筑物集中区域划定工作，为科学合理划定噪声敏感建筑物集中区域及依法实施管理提供实践经验。截至</w:t>
      </w:r>
      <w:r>
        <w:rPr>
          <w:rFonts w:hint="eastAsia" w:cs="Times New Roman"/>
          <w:color w:val="auto"/>
          <w:lang w:eastAsia="zh-CN"/>
        </w:rPr>
        <w:t>目前，</w:t>
      </w:r>
      <w:r>
        <w:rPr>
          <w:rFonts w:hint="default" w:ascii="Times New Roman" w:hAnsi="Times New Roman" w:cs="Times New Roman"/>
          <w:color w:val="auto"/>
        </w:rPr>
        <w:t>国内多个省、市或区已经公布了噪声敏感建筑物集中区域划分方案</w:t>
      </w:r>
      <w:r>
        <w:rPr>
          <w:rFonts w:hint="eastAsia" w:cs="Times New Roman"/>
          <w:color w:val="auto"/>
          <w:lang w:eastAsia="zh-CN"/>
        </w:rPr>
        <w:t>或细则</w:t>
      </w:r>
      <w:r>
        <w:rPr>
          <w:rFonts w:hint="eastAsia" w:ascii="Times New Roman" w:hAnsi="Times New Roman" w:cs="Times New Roman"/>
          <w:color w:val="auto"/>
          <w:lang w:eastAsia="zh-CN"/>
        </w:rPr>
        <w:t>，</w:t>
      </w:r>
      <w:r>
        <w:rPr>
          <w:rFonts w:hint="eastAsia" w:cs="Times New Roman"/>
          <w:color w:val="auto"/>
          <w:lang w:eastAsia="zh-CN"/>
        </w:rPr>
        <w:t>明确了噪声敏感建筑物集中区域划分技术要求，</w:t>
      </w:r>
      <w:r>
        <w:rPr>
          <w:rFonts w:hint="eastAsia" w:ascii="Times New Roman" w:hAnsi="Times New Roman" w:cs="Times New Roman"/>
          <w:color w:val="auto"/>
          <w:lang w:val="en-US" w:eastAsia="zh-CN"/>
        </w:rPr>
        <w:t>23个城市</w:t>
      </w:r>
      <w:r>
        <w:rPr>
          <w:rFonts w:hint="eastAsia" w:cs="Times New Roman"/>
          <w:color w:val="auto"/>
          <w:lang w:val="en-US" w:eastAsia="zh-CN"/>
        </w:rPr>
        <w:t>已公布</w:t>
      </w:r>
      <w:r>
        <w:rPr>
          <w:rFonts w:hint="default" w:ascii="Times New Roman" w:hAnsi="Times New Roman" w:cs="Times New Roman"/>
          <w:color w:val="auto"/>
          <w:lang w:val="en-US" w:eastAsia="zh-CN"/>
        </w:rPr>
        <w:t>噪声敏感建筑物集中区域</w:t>
      </w:r>
      <w:r>
        <w:rPr>
          <w:rFonts w:hint="eastAsia" w:ascii="Times New Roman" w:hAnsi="Times New Roman" w:cs="Times New Roman"/>
          <w:color w:val="auto"/>
          <w:lang w:val="en-US" w:eastAsia="zh-CN"/>
        </w:rPr>
        <w:t>划分结果</w:t>
      </w:r>
      <w:r>
        <w:rPr>
          <w:rFonts w:hint="eastAsia" w:cs="Times New Roman"/>
          <w:color w:val="auto"/>
          <w:lang w:val="en-US" w:eastAsia="zh-CN"/>
        </w:rPr>
        <w:t>，见表5-1</w:t>
      </w:r>
      <w:r>
        <w:rPr>
          <w:rFonts w:hint="eastAsia" w:ascii="Times New Roman" w:hAnsi="Times New Roman" w:cs="Times New Roman"/>
          <w:color w:val="auto"/>
          <w:lang w:eastAsia="zh-CN"/>
        </w:rPr>
        <w:t>，</w:t>
      </w:r>
      <w:r>
        <w:rPr>
          <w:rFonts w:hint="eastAsia" w:cs="Times New Roman"/>
          <w:color w:val="auto"/>
          <w:lang w:eastAsia="zh-CN"/>
        </w:rPr>
        <w:t>但仅</w:t>
      </w:r>
      <w:r>
        <w:rPr>
          <w:rFonts w:hint="default" w:ascii="Times New Roman" w:hAnsi="Times New Roman" w:cs="Times New Roman"/>
          <w:color w:val="auto"/>
        </w:rPr>
        <w:t>河南省组织编制</w:t>
      </w:r>
      <w:r>
        <w:rPr>
          <w:rFonts w:hint="eastAsia" w:cs="Times New Roman"/>
          <w:color w:val="auto"/>
          <w:lang w:eastAsia="zh-CN"/>
        </w:rPr>
        <w:t>发布</w:t>
      </w:r>
      <w:r>
        <w:rPr>
          <w:rFonts w:hint="default" w:ascii="Times New Roman" w:hAnsi="Times New Roman" w:cs="Times New Roman"/>
          <w:color w:val="auto"/>
        </w:rPr>
        <w:t>了《噪声敏感建筑物集中区域划分技术规范》地方标准</w:t>
      </w:r>
      <w:r>
        <w:rPr>
          <w:rFonts w:hint="eastAsia" w:cs="Times New Roman"/>
          <w:color w:val="auto"/>
          <w:lang w:eastAsia="zh-CN"/>
        </w:rPr>
        <w:t>。</w:t>
      </w:r>
    </w:p>
    <w:p w14:paraId="54ABFD4F">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5-1</w:t>
      </w:r>
      <w:r>
        <w:rPr>
          <w:rFonts w:hint="default" w:eastAsia="黑体" w:cs="Times New Roman"/>
          <w:color w:val="auto"/>
          <w:sz w:val="21"/>
          <w:szCs w:val="21"/>
          <w:lang w:val="en-US" w:eastAsia="zh-CN"/>
        </w:rPr>
        <w:t xml:space="preserve"> 目前国内各城市已公布噪声敏感建筑物集中区域划分</w:t>
      </w:r>
      <w:r>
        <w:rPr>
          <w:rFonts w:hint="eastAsia" w:eastAsia="黑体" w:cs="Times New Roman"/>
          <w:color w:val="auto"/>
          <w:sz w:val="21"/>
          <w:szCs w:val="21"/>
          <w:lang w:val="en-US" w:eastAsia="zh-CN"/>
        </w:rPr>
        <w:t>结果信息</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6"/>
        <w:gridCol w:w="3333"/>
        <w:gridCol w:w="1990"/>
        <w:gridCol w:w="2032"/>
        <w:gridCol w:w="1694"/>
      </w:tblGrid>
      <w:tr w14:paraId="23CCE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806" w:type="dxa"/>
            <w:vMerge w:val="restart"/>
            <w:vAlign w:val="center"/>
          </w:tcPr>
          <w:p w14:paraId="229CBEE4">
            <w:pPr>
              <w:pStyle w:val="26"/>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3333" w:type="dxa"/>
            <w:vMerge w:val="restart"/>
            <w:vAlign w:val="center"/>
          </w:tcPr>
          <w:p w14:paraId="7253F28A">
            <w:pPr>
              <w:pStyle w:val="26"/>
              <w:rPr>
                <w:rFonts w:hint="default" w:ascii="Times New Roman" w:hAnsi="Times New Roman" w:cs="Times New Roman"/>
                <w:b/>
                <w:bCs/>
                <w:color w:val="auto"/>
              </w:rPr>
            </w:pPr>
            <w:r>
              <w:rPr>
                <w:rFonts w:hint="default" w:ascii="Times New Roman" w:hAnsi="Times New Roman" w:cs="Times New Roman"/>
                <w:b/>
                <w:bCs/>
                <w:color w:val="auto"/>
              </w:rPr>
              <w:t>实施地点</w:t>
            </w:r>
          </w:p>
        </w:tc>
        <w:tc>
          <w:tcPr>
            <w:tcW w:w="4022" w:type="dxa"/>
            <w:gridSpan w:val="2"/>
            <w:vAlign w:val="center"/>
          </w:tcPr>
          <w:p w14:paraId="198C7D70">
            <w:pPr>
              <w:pStyle w:val="26"/>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噪声敏感建筑物集中区域划分结果</w:t>
            </w:r>
          </w:p>
        </w:tc>
        <w:tc>
          <w:tcPr>
            <w:tcW w:w="1694" w:type="dxa"/>
            <w:vMerge w:val="restart"/>
            <w:vAlign w:val="center"/>
          </w:tcPr>
          <w:p w14:paraId="3DB4FB58">
            <w:pPr>
              <w:pStyle w:val="26"/>
              <w:rPr>
                <w:rFonts w:hint="default" w:ascii="Times New Roman" w:hAnsi="Times New Roman" w:cs="Times New Roman"/>
                <w:b/>
                <w:bCs/>
                <w:color w:val="auto"/>
              </w:rPr>
            </w:pPr>
            <w:r>
              <w:rPr>
                <w:rFonts w:hint="default" w:ascii="Times New Roman" w:hAnsi="Times New Roman" w:cs="Times New Roman"/>
                <w:b/>
                <w:bCs/>
                <w:color w:val="auto"/>
              </w:rPr>
              <w:t>实施时间/</w:t>
            </w:r>
          </w:p>
          <w:p w14:paraId="631B27A6">
            <w:pPr>
              <w:pStyle w:val="26"/>
              <w:rPr>
                <w:rFonts w:hint="default" w:ascii="Times New Roman" w:hAnsi="Times New Roman" w:cs="Times New Roman"/>
                <w:color w:val="auto"/>
              </w:rPr>
            </w:pPr>
            <w:r>
              <w:rPr>
                <w:rFonts w:hint="default" w:ascii="Times New Roman" w:hAnsi="Times New Roman" w:cs="Times New Roman"/>
                <w:b/>
                <w:bCs/>
                <w:color w:val="auto"/>
              </w:rPr>
              <w:t>征求时间</w:t>
            </w:r>
          </w:p>
        </w:tc>
      </w:tr>
      <w:tr w14:paraId="4B30E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06" w:type="dxa"/>
            <w:vMerge w:val="continue"/>
            <w:vAlign w:val="center"/>
          </w:tcPr>
          <w:p w14:paraId="07994171">
            <w:pPr>
              <w:pStyle w:val="26"/>
              <w:rPr>
                <w:rFonts w:hint="default" w:ascii="Times New Roman" w:hAnsi="Times New Roman" w:cs="Times New Roman"/>
                <w:b/>
                <w:bCs/>
                <w:color w:val="auto"/>
              </w:rPr>
            </w:pPr>
          </w:p>
        </w:tc>
        <w:tc>
          <w:tcPr>
            <w:tcW w:w="3333" w:type="dxa"/>
            <w:vMerge w:val="continue"/>
            <w:vAlign w:val="center"/>
          </w:tcPr>
          <w:p w14:paraId="1D705136">
            <w:pPr>
              <w:pStyle w:val="26"/>
              <w:rPr>
                <w:rFonts w:hint="default" w:ascii="Times New Roman" w:hAnsi="Times New Roman" w:cs="Times New Roman"/>
                <w:b/>
                <w:bCs/>
                <w:color w:val="auto"/>
              </w:rPr>
            </w:pPr>
          </w:p>
        </w:tc>
        <w:tc>
          <w:tcPr>
            <w:tcW w:w="1990" w:type="dxa"/>
            <w:vAlign w:val="center"/>
          </w:tcPr>
          <w:p w14:paraId="78E85131">
            <w:pPr>
              <w:pStyle w:val="26"/>
              <w:rPr>
                <w:rFonts w:hint="default" w:ascii="Times New Roman" w:hAnsi="Times New Roman" w:cs="Times New Roman"/>
                <w:b/>
                <w:bCs/>
                <w:color w:val="auto"/>
              </w:rPr>
            </w:pPr>
            <w:r>
              <w:rPr>
                <w:rFonts w:hint="default" w:ascii="Times New Roman" w:hAnsi="Times New Roman" w:cs="Times New Roman"/>
                <w:b/>
                <w:bCs/>
                <w:color w:val="auto"/>
              </w:rPr>
              <w:t>数量（个）</w:t>
            </w:r>
          </w:p>
        </w:tc>
        <w:tc>
          <w:tcPr>
            <w:tcW w:w="2032" w:type="dxa"/>
            <w:vAlign w:val="center"/>
          </w:tcPr>
          <w:p w14:paraId="037FB712">
            <w:pPr>
              <w:pStyle w:val="26"/>
              <w:rPr>
                <w:rFonts w:hint="default" w:ascii="Times New Roman" w:hAnsi="Times New Roman" w:cs="Times New Roman"/>
                <w:b/>
                <w:bCs/>
                <w:color w:val="auto"/>
              </w:rPr>
            </w:pPr>
            <w:r>
              <w:rPr>
                <w:rFonts w:hint="default" w:ascii="Times New Roman" w:hAnsi="Times New Roman" w:cs="Times New Roman"/>
                <w:b/>
                <w:bCs/>
                <w:color w:val="auto"/>
              </w:rPr>
              <w:t>面积（km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1694" w:type="dxa"/>
            <w:vMerge w:val="continue"/>
            <w:vAlign w:val="center"/>
          </w:tcPr>
          <w:p w14:paraId="559EE12A">
            <w:pPr>
              <w:pStyle w:val="26"/>
              <w:rPr>
                <w:rFonts w:hint="default" w:ascii="Times New Roman" w:hAnsi="Times New Roman" w:cs="Times New Roman"/>
                <w:color w:val="auto"/>
              </w:rPr>
            </w:pPr>
          </w:p>
        </w:tc>
      </w:tr>
      <w:tr w14:paraId="23884F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2E3C00CC">
            <w:pPr>
              <w:pStyle w:val="26"/>
              <w:rPr>
                <w:rFonts w:hint="default" w:ascii="Times New Roman" w:hAnsi="Times New Roman" w:cs="Times New Roman"/>
                <w:color w:val="auto"/>
              </w:rPr>
            </w:pPr>
            <w:r>
              <w:rPr>
                <w:rFonts w:hint="default" w:ascii="Times New Roman" w:hAnsi="Times New Roman" w:cs="Times New Roman"/>
                <w:color w:val="auto"/>
              </w:rPr>
              <w:t>1</w:t>
            </w:r>
          </w:p>
        </w:tc>
        <w:tc>
          <w:tcPr>
            <w:tcW w:w="3333" w:type="dxa"/>
            <w:shd w:val="clear" w:color="auto" w:fill="auto"/>
            <w:vAlign w:val="center"/>
          </w:tcPr>
          <w:p w14:paraId="4EF76115">
            <w:pPr>
              <w:pStyle w:val="26"/>
              <w:rPr>
                <w:rFonts w:hint="default" w:ascii="Times New Roman" w:hAnsi="Times New Roman" w:cs="Times New Roman"/>
                <w:color w:val="auto"/>
              </w:rPr>
            </w:pPr>
            <w:r>
              <w:rPr>
                <w:rFonts w:hint="default" w:ascii="Times New Roman" w:hAnsi="Times New Roman" w:cs="Times New Roman"/>
                <w:color w:val="auto"/>
              </w:rPr>
              <w:t>重庆市-垫江县</w:t>
            </w:r>
          </w:p>
        </w:tc>
        <w:tc>
          <w:tcPr>
            <w:tcW w:w="1990" w:type="dxa"/>
            <w:shd w:val="clear" w:color="auto" w:fill="auto"/>
            <w:vAlign w:val="center"/>
          </w:tcPr>
          <w:p w14:paraId="03544DB5">
            <w:pPr>
              <w:pStyle w:val="26"/>
              <w:rPr>
                <w:rFonts w:hint="default" w:ascii="Times New Roman" w:hAnsi="Times New Roman" w:cs="Times New Roman"/>
                <w:color w:val="auto"/>
              </w:rPr>
            </w:pPr>
            <w:r>
              <w:rPr>
                <w:rFonts w:hint="default" w:ascii="Times New Roman" w:hAnsi="Times New Roman" w:cs="Times New Roman"/>
                <w:color w:val="auto"/>
              </w:rPr>
              <w:t>138</w:t>
            </w:r>
          </w:p>
        </w:tc>
        <w:tc>
          <w:tcPr>
            <w:tcW w:w="2032" w:type="dxa"/>
            <w:shd w:val="clear" w:color="auto" w:fill="auto"/>
            <w:vAlign w:val="center"/>
          </w:tcPr>
          <w:p w14:paraId="5435BB85">
            <w:pPr>
              <w:pStyle w:val="26"/>
              <w:rPr>
                <w:rFonts w:hint="default" w:ascii="Times New Roman" w:hAnsi="Times New Roman" w:cs="Times New Roman"/>
                <w:color w:val="auto"/>
              </w:rPr>
            </w:pPr>
            <w:r>
              <w:rPr>
                <w:rFonts w:hint="default" w:ascii="Times New Roman" w:hAnsi="Times New Roman" w:cs="Times New Roman"/>
                <w:color w:val="auto"/>
              </w:rPr>
              <w:t>8.64</w:t>
            </w:r>
          </w:p>
        </w:tc>
        <w:tc>
          <w:tcPr>
            <w:tcW w:w="1694" w:type="dxa"/>
            <w:shd w:val="clear" w:color="auto" w:fill="auto"/>
            <w:vAlign w:val="center"/>
          </w:tcPr>
          <w:p w14:paraId="2C67C1F3">
            <w:pPr>
              <w:pStyle w:val="26"/>
              <w:rPr>
                <w:rFonts w:hint="default" w:ascii="Times New Roman" w:hAnsi="Times New Roman" w:cs="Times New Roman"/>
                <w:color w:val="auto"/>
              </w:rPr>
            </w:pPr>
            <w:r>
              <w:rPr>
                <w:rFonts w:hint="default" w:ascii="Times New Roman" w:hAnsi="Times New Roman" w:cs="Times New Roman"/>
                <w:color w:val="auto"/>
              </w:rPr>
              <w:t>2024年10月</w:t>
            </w:r>
          </w:p>
        </w:tc>
      </w:tr>
      <w:tr w14:paraId="4EAB4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3F61EBD5">
            <w:pPr>
              <w:pStyle w:val="26"/>
              <w:rPr>
                <w:rFonts w:hint="default" w:ascii="Times New Roman" w:hAnsi="Times New Roman" w:cs="Times New Roman"/>
                <w:color w:val="auto"/>
              </w:rPr>
            </w:pPr>
            <w:r>
              <w:rPr>
                <w:rFonts w:hint="default" w:ascii="Times New Roman" w:hAnsi="Times New Roman" w:cs="Times New Roman"/>
                <w:color w:val="auto"/>
              </w:rPr>
              <w:t>2</w:t>
            </w:r>
          </w:p>
        </w:tc>
        <w:tc>
          <w:tcPr>
            <w:tcW w:w="3333" w:type="dxa"/>
            <w:shd w:val="clear" w:color="auto" w:fill="auto"/>
            <w:vAlign w:val="center"/>
          </w:tcPr>
          <w:p w14:paraId="2AA12904">
            <w:pPr>
              <w:pStyle w:val="26"/>
              <w:rPr>
                <w:rFonts w:hint="default" w:ascii="Times New Roman" w:hAnsi="Times New Roman" w:cs="Times New Roman"/>
                <w:color w:val="auto"/>
              </w:rPr>
            </w:pPr>
            <w:r>
              <w:rPr>
                <w:rFonts w:hint="default" w:ascii="Times New Roman" w:hAnsi="Times New Roman" w:cs="Times New Roman"/>
                <w:color w:val="auto"/>
              </w:rPr>
              <w:t>重庆市-合川区</w:t>
            </w:r>
          </w:p>
        </w:tc>
        <w:tc>
          <w:tcPr>
            <w:tcW w:w="1990" w:type="dxa"/>
            <w:shd w:val="clear" w:color="auto" w:fill="auto"/>
            <w:vAlign w:val="center"/>
          </w:tcPr>
          <w:p w14:paraId="03AF41BE">
            <w:pPr>
              <w:pStyle w:val="26"/>
              <w:rPr>
                <w:rFonts w:hint="default" w:ascii="Times New Roman" w:hAnsi="Times New Roman" w:cs="Times New Roman"/>
                <w:color w:val="auto"/>
              </w:rPr>
            </w:pPr>
            <w:r>
              <w:rPr>
                <w:rFonts w:hint="default" w:ascii="Times New Roman" w:hAnsi="Times New Roman" w:cs="Times New Roman"/>
                <w:color w:val="auto"/>
              </w:rPr>
              <w:t>30</w:t>
            </w:r>
          </w:p>
        </w:tc>
        <w:tc>
          <w:tcPr>
            <w:tcW w:w="2032" w:type="dxa"/>
            <w:shd w:val="clear" w:color="auto" w:fill="auto"/>
            <w:vAlign w:val="center"/>
          </w:tcPr>
          <w:p w14:paraId="7579CDD8">
            <w:pPr>
              <w:pStyle w:val="26"/>
              <w:rPr>
                <w:rFonts w:hint="default" w:ascii="Times New Roman" w:hAnsi="Times New Roman" w:cs="Times New Roman"/>
                <w:color w:val="auto"/>
              </w:rPr>
            </w:pPr>
            <w:r>
              <w:rPr>
                <w:rFonts w:hint="default" w:ascii="Times New Roman" w:hAnsi="Times New Roman" w:cs="Times New Roman"/>
                <w:color w:val="auto"/>
              </w:rPr>
              <w:t>10.47</w:t>
            </w:r>
          </w:p>
        </w:tc>
        <w:tc>
          <w:tcPr>
            <w:tcW w:w="1694" w:type="dxa"/>
            <w:shd w:val="clear" w:color="auto" w:fill="auto"/>
            <w:vAlign w:val="center"/>
          </w:tcPr>
          <w:p w14:paraId="5CDABDAB">
            <w:pPr>
              <w:pStyle w:val="26"/>
              <w:rPr>
                <w:rFonts w:hint="default" w:ascii="Times New Roman" w:hAnsi="Times New Roman" w:cs="Times New Roman"/>
                <w:color w:val="auto"/>
              </w:rPr>
            </w:pPr>
            <w:r>
              <w:rPr>
                <w:rFonts w:hint="default" w:ascii="Times New Roman" w:hAnsi="Times New Roman" w:cs="Times New Roman"/>
                <w:color w:val="auto"/>
              </w:rPr>
              <w:t>2024年11月</w:t>
            </w:r>
          </w:p>
        </w:tc>
      </w:tr>
      <w:tr w14:paraId="24356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1AC456DD">
            <w:pPr>
              <w:pStyle w:val="26"/>
              <w:rPr>
                <w:rFonts w:hint="default" w:ascii="Times New Roman" w:hAnsi="Times New Roman" w:cs="Times New Roman"/>
                <w:color w:val="auto"/>
              </w:rPr>
            </w:pPr>
            <w:r>
              <w:rPr>
                <w:rFonts w:hint="default" w:ascii="Times New Roman" w:hAnsi="Times New Roman" w:cs="Times New Roman"/>
                <w:color w:val="auto"/>
              </w:rPr>
              <w:t>3</w:t>
            </w:r>
          </w:p>
        </w:tc>
        <w:tc>
          <w:tcPr>
            <w:tcW w:w="3333" w:type="dxa"/>
            <w:shd w:val="clear" w:color="auto" w:fill="auto"/>
            <w:vAlign w:val="center"/>
          </w:tcPr>
          <w:p w14:paraId="79451B99">
            <w:pPr>
              <w:pStyle w:val="26"/>
              <w:rPr>
                <w:rFonts w:hint="default" w:ascii="Times New Roman" w:hAnsi="Times New Roman" w:cs="Times New Roman"/>
                <w:color w:val="auto"/>
                <w:lang w:eastAsia="zh-CN"/>
              </w:rPr>
            </w:pPr>
            <w:r>
              <w:rPr>
                <w:rFonts w:hint="default" w:ascii="Times New Roman" w:hAnsi="Times New Roman" w:cs="Times New Roman"/>
                <w:color w:val="auto"/>
                <w:lang w:eastAsia="zh-CN"/>
              </w:rPr>
              <w:t>西部科学城重庆高新区</w:t>
            </w:r>
          </w:p>
        </w:tc>
        <w:tc>
          <w:tcPr>
            <w:tcW w:w="1990" w:type="dxa"/>
            <w:shd w:val="clear" w:color="auto" w:fill="auto"/>
            <w:vAlign w:val="center"/>
          </w:tcPr>
          <w:p w14:paraId="6B40A913">
            <w:pPr>
              <w:pStyle w:val="26"/>
              <w:rPr>
                <w:rFonts w:hint="default" w:ascii="Times New Roman" w:hAnsi="Times New Roman" w:cs="Times New Roman"/>
                <w:color w:val="auto"/>
              </w:rPr>
            </w:pPr>
            <w:r>
              <w:rPr>
                <w:rFonts w:hint="default" w:ascii="Times New Roman" w:hAnsi="Times New Roman" w:cs="Times New Roman"/>
                <w:color w:val="auto"/>
              </w:rPr>
              <w:t>20</w:t>
            </w:r>
          </w:p>
        </w:tc>
        <w:tc>
          <w:tcPr>
            <w:tcW w:w="2032" w:type="dxa"/>
            <w:shd w:val="clear" w:color="auto" w:fill="auto"/>
            <w:vAlign w:val="center"/>
          </w:tcPr>
          <w:p w14:paraId="2AA33EB5">
            <w:pPr>
              <w:pStyle w:val="26"/>
              <w:rPr>
                <w:rFonts w:hint="default" w:ascii="Times New Roman" w:hAnsi="Times New Roman" w:cs="Times New Roman"/>
                <w:color w:val="auto"/>
              </w:rPr>
            </w:pPr>
            <w:r>
              <w:rPr>
                <w:rFonts w:hint="default" w:ascii="Times New Roman" w:hAnsi="Times New Roman" w:cs="Times New Roman"/>
                <w:color w:val="auto"/>
              </w:rPr>
              <w:t>28.84</w:t>
            </w:r>
          </w:p>
        </w:tc>
        <w:tc>
          <w:tcPr>
            <w:tcW w:w="1694" w:type="dxa"/>
            <w:shd w:val="clear" w:color="auto" w:fill="auto"/>
            <w:vAlign w:val="center"/>
          </w:tcPr>
          <w:p w14:paraId="53A96285">
            <w:pPr>
              <w:pStyle w:val="26"/>
              <w:rPr>
                <w:rFonts w:hint="default" w:ascii="Times New Roman" w:hAnsi="Times New Roman" w:cs="Times New Roman"/>
                <w:color w:val="auto"/>
              </w:rPr>
            </w:pPr>
            <w:r>
              <w:rPr>
                <w:rFonts w:hint="default" w:ascii="Times New Roman" w:hAnsi="Times New Roman" w:cs="Times New Roman"/>
                <w:color w:val="auto"/>
              </w:rPr>
              <w:t>2024年11月</w:t>
            </w:r>
          </w:p>
        </w:tc>
      </w:tr>
      <w:tr w14:paraId="65757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30CC75A4">
            <w:pPr>
              <w:pStyle w:val="26"/>
              <w:rPr>
                <w:rFonts w:hint="default" w:ascii="Times New Roman" w:hAnsi="Times New Roman" w:cs="Times New Roman"/>
                <w:color w:val="auto"/>
              </w:rPr>
            </w:pPr>
            <w:r>
              <w:rPr>
                <w:rFonts w:hint="default" w:ascii="Times New Roman" w:hAnsi="Times New Roman" w:cs="Times New Roman"/>
                <w:color w:val="auto"/>
              </w:rPr>
              <w:t>4</w:t>
            </w:r>
          </w:p>
        </w:tc>
        <w:tc>
          <w:tcPr>
            <w:tcW w:w="3333" w:type="dxa"/>
            <w:shd w:val="clear" w:color="auto" w:fill="auto"/>
            <w:vAlign w:val="center"/>
          </w:tcPr>
          <w:p w14:paraId="2EC9EAE6">
            <w:pPr>
              <w:pStyle w:val="26"/>
              <w:rPr>
                <w:rFonts w:hint="default" w:ascii="Times New Roman" w:hAnsi="Times New Roman" w:cs="Times New Roman"/>
                <w:color w:val="auto"/>
              </w:rPr>
            </w:pPr>
            <w:r>
              <w:rPr>
                <w:rFonts w:hint="default" w:ascii="Times New Roman" w:hAnsi="Times New Roman" w:cs="Times New Roman"/>
                <w:color w:val="auto"/>
              </w:rPr>
              <w:t>福建省-厦门市</w:t>
            </w:r>
          </w:p>
        </w:tc>
        <w:tc>
          <w:tcPr>
            <w:tcW w:w="1990" w:type="dxa"/>
            <w:shd w:val="clear" w:color="auto" w:fill="auto"/>
            <w:vAlign w:val="center"/>
          </w:tcPr>
          <w:p w14:paraId="134536A0">
            <w:pPr>
              <w:pStyle w:val="26"/>
              <w:rPr>
                <w:rFonts w:hint="default" w:ascii="Times New Roman" w:hAnsi="Times New Roman" w:cs="Times New Roman"/>
                <w:color w:val="auto"/>
              </w:rPr>
            </w:pPr>
            <w:r>
              <w:rPr>
                <w:rFonts w:hint="default" w:ascii="Times New Roman" w:hAnsi="Times New Roman" w:cs="Times New Roman"/>
                <w:color w:val="auto"/>
              </w:rPr>
              <w:t>19</w:t>
            </w:r>
          </w:p>
        </w:tc>
        <w:tc>
          <w:tcPr>
            <w:tcW w:w="2032" w:type="dxa"/>
            <w:shd w:val="clear" w:color="auto" w:fill="auto"/>
            <w:vAlign w:val="center"/>
          </w:tcPr>
          <w:p w14:paraId="614D4D06">
            <w:pPr>
              <w:pStyle w:val="26"/>
              <w:rPr>
                <w:rFonts w:hint="default" w:ascii="Times New Roman" w:hAnsi="Times New Roman" w:cs="Times New Roman"/>
                <w:color w:val="auto"/>
              </w:rPr>
            </w:pPr>
            <w:r>
              <w:rPr>
                <w:rFonts w:hint="default" w:ascii="Times New Roman" w:hAnsi="Times New Roman" w:cs="Times New Roman"/>
                <w:color w:val="auto"/>
              </w:rPr>
              <w:t>-</w:t>
            </w:r>
          </w:p>
        </w:tc>
        <w:tc>
          <w:tcPr>
            <w:tcW w:w="1694" w:type="dxa"/>
            <w:shd w:val="clear" w:color="auto" w:fill="auto"/>
            <w:vAlign w:val="center"/>
          </w:tcPr>
          <w:p w14:paraId="6D90C228">
            <w:pPr>
              <w:pStyle w:val="26"/>
              <w:rPr>
                <w:rFonts w:hint="default" w:ascii="Times New Roman" w:hAnsi="Times New Roman" w:cs="Times New Roman"/>
                <w:color w:val="auto"/>
              </w:rPr>
            </w:pPr>
            <w:r>
              <w:rPr>
                <w:rFonts w:hint="default" w:ascii="Times New Roman" w:hAnsi="Times New Roman" w:cs="Times New Roman"/>
                <w:color w:val="auto"/>
              </w:rPr>
              <w:t>2024年1月</w:t>
            </w:r>
          </w:p>
        </w:tc>
      </w:tr>
      <w:tr w14:paraId="14E04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6657F975">
            <w:pPr>
              <w:pStyle w:val="26"/>
              <w:rPr>
                <w:rFonts w:hint="default" w:ascii="Times New Roman" w:hAnsi="Times New Roman" w:cs="Times New Roman"/>
                <w:color w:val="auto"/>
              </w:rPr>
            </w:pPr>
            <w:r>
              <w:rPr>
                <w:rFonts w:hint="default" w:ascii="Times New Roman" w:hAnsi="Times New Roman" w:cs="Times New Roman"/>
                <w:color w:val="auto"/>
              </w:rPr>
              <w:t>5</w:t>
            </w:r>
          </w:p>
        </w:tc>
        <w:tc>
          <w:tcPr>
            <w:tcW w:w="3333" w:type="dxa"/>
            <w:shd w:val="clear" w:color="auto" w:fill="auto"/>
            <w:vAlign w:val="center"/>
          </w:tcPr>
          <w:p w14:paraId="5809F96F">
            <w:pPr>
              <w:pStyle w:val="26"/>
              <w:rPr>
                <w:rFonts w:hint="default" w:ascii="Times New Roman" w:hAnsi="Times New Roman" w:cs="Times New Roman"/>
                <w:color w:val="auto"/>
              </w:rPr>
            </w:pPr>
            <w:r>
              <w:rPr>
                <w:rFonts w:hint="default" w:ascii="Times New Roman" w:hAnsi="Times New Roman" w:cs="Times New Roman"/>
                <w:color w:val="auto"/>
              </w:rPr>
              <w:t>江西省-南昌市-东湖区</w:t>
            </w:r>
          </w:p>
        </w:tc>
        <w:tc>
          <w:tcPr>
            <w:tcW w:w="1990" w:type="dxa"/>
            <w:shd w:val="clear" w:color="auto" w:fill="auto"/>
            <w:vAlign w:val="center"/>
          </w:tcPr>
          <w:p w14:paraId="11B301CD">
            <w:pPr>
              <w:pStyle w:val="26"/>
              <w:rPr>
                <w:rFonts w:hint="default" w:ascii="Times New Roman" w:hAnsi="Times New Roman" w:cs="Times New Roman"/>
                <w:color w:val="auto"/>
              </w:rPr>
            </w:pPr>
            <w:r>
              <w:rPr>
                <w:rFonts w:hint="default" w:ascii="Times New Roman" w:hAnsi="Times New Roman" w:cs="Times New Roman"/>
                <w:color w:val="auto"/>
              </w:rPr>
              <w:t>2</w:t>
            </w:r>
          </w:p>
        </w:tc>
        <w:tc>
          <w:tcPr>
            <w:tcW w:w="2032" w:type="dxa"/>
            <w:shd w:val="clear" w:color="auto" w:fill="auto"/>
            <w:vAlign w:val="center"/>
          </w:tcPr>
          <w:p w14:paraId="1B58CD39">
            <w:pPr>
              <w:pStyle w:val="26"/>
              <w:rPr>
                <w:rFonts w:hint="default" w:ascii="Times New Roman" w:hAnsi="Times New Roman" w:cs="Times New Roman"/>
                <w:color w:val="auto"/>
              </w:rPr>
            </w:pPr>
            <w:r>
              <w:rPr>
                <w:rFonts w:hint="default" w:ascii="Times New Roman" w:hAnsi="Times New Roman" w:cs="Times New Roman"/>
                <w:color w:val="auto"/>
              </w:rPr>
              <w:t>2.667</w:t>
            </w:r>
          </w:p>
        </w:tc>
        <w:tc>
          <w:tcPr>
            <w:tcW w:w="1694" w:type="dxa"/>
            <w:shd w:val="clear" w:color="auto" w:fill="auto"/>
            <w:vAlign w:val="center"/>
          </w:tcPr>
          <w:p w14:paraId="38C5BC94">
            <w:pPr>
              <w:pStyle w:val="26"/>
              <w:rPr>
                <w:rFonts w:hint="default" w:ascii="Times New Roman" w:hAnsi="Times New Roman" w:cs="Times New Roman"/>
                <w:color w:val="auto"/>
              </w:rPr>
            </w:pPr>
            <w:r>
              <w:rPr>
                <w:rFonts w:hint="default" w:ascii="Times New Roman" w:hAnsi="Times New Roman" w:cs="Times New Roman"/>
                <w:color w:val="auto"/>
              </w:rPr>
              <w:t>2023年8月</w:t>
            </w:r>
          </w:p>
        </w:tc>
      </w:tr>
      <w:tr w14:paraId="40985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7C2DDBE7">
            <w:pPr>
              <w:pStyle w:val="26"/>
              <w:rPr>
                <w:rFonts w:hint="default" w:ascii="Times New Roman" w:hAnsi="Times New Roman" w:cs="Times New Roman"/>
                <w:color w:val="auto"/>
              </w:rPr>
            </w:pPr>
            <w:r>
              <w:rPr>
                <w:rFonts w:hint="default" w:ascii="Times New Roman" w:hAnsi="Times New Roman" w:cs="Times New Roman"/>
                <w:color w:val="auto"/>
              </w:rPr>
              <w:t>6</w:t>
            </w:r>
          </w:p>
        </w:tc>
        <w:tc>
          <w:tcPr>
            <w:tcW w:w="3333" w:type="dxa"/>
            <w:shd w:val="clear" w:color="auto" w:fill="auto"/>
            <w:vAlign w:val="center"/>
          </w:tcPr>
          <w:p w14:paraId="065A161F">
            <w:pPr>
              <w:pStyle w:val="26"/>
              <w:rPr>
                <w:rFonts w:hint="default" w:ascii="Times New Roman" w:hAnsi="Times New Roman" w:cs="Times New Roman"/>
                <w:color w:val="auto"/>
              </w:rPr>
            </w:pPr>
            <w:r>
              <w:rPr>
                <w:rFonts w:hint="default" w:ascii="Times New Roman" w:hAnsi="Times New Roman" w:cs="Times New Roman"/>
                <w:color w:val="auto"/>
              </w:rPr>
              <w:t>山东省-潍坊市-昌乐县</w:t>
            </w:r>
          </w:p>
        </w:tc>
        <w:tc>
          <w:tcPr>
            <w:tcW w:w="1990" w:type="dxa"/>
            <w:shd w:val="clear" w:color="auto" w:fill="auto"/>
            <w:vAlign w:val="center"/>
          </w:tcPr>
          <w:p w14:paraId="490F57A3">
            <w:pPr>
              <w:pStyle w:val="26"/>
              <w:rPr>
                <w:rFonts w:hint="default" w:ascii="Times New Roman" w:hAnsi="Times New Roman" w:cs="Times New Roman"/>
                <w:color w:val="auto"/>
              </w:rPr>
            </w:pPr>
            <w:r>
              <w:rPr>
                <w:rFonts w:hint="default" w:ascii="Times New Roman" w:hAnsi="Times New Roman" w:cs="Times New Roman"/>
                <w:color w:val="auto"/>
              </w:rPr>
              <w:t>10</w:t>
            </w:r>
          </w:p>
        </w:tc>
        <w:tc>
          <w:tcPr>
            <w:tcW w:w="2032" w:type="dxa"/>
            <w:shd w:val="clear" w:color="auto" w:fill="auto"/>
            <w:vAlign w:val="center"/>
          </w:tcPr>
          <w:p w14:paraId="6CA1E0C7">
            <w:pPr>
              <w:pStyle w:val="26"/>
              <w:rPr>
                <w:rFonts w:hint="default" w:ascii="Times New Roman" w:hAnsi="Times New Roman" w:cs="Times New Roman"/>
                <w:color w:val="auto"/>
              </w:rPr>
            </w:pPr>
            <w:r>
              <w:rPr>
                <w:rFonts w:hint="default" w:ascii="Times New Roman" w:hAnsi="Times New Roman" w:cs="Times New Roman"/>
                <w:color w:val="auto"/>
              </w:rPr>
              <w:t>-</w:t>
            </w:r>
          </w:p>
        </w:tc>
        <w:tc>
          <w:tcPr>
            <w:tcW w:w="1694" w:type="dxa"/>
            <w:shd w:val="clear" w:color="auto" w:fill="auto"/>
            <w:vAlign w:val="center"/>
          </w:tcPr>
          <w:p w14:paraId="193926F6">
            <w:pPr>
              <w:pStyle w:val="26"/>
              <w:rPr>
                <w:rFonts w:hint="default" w:ascii="Times New Roman" w:hAnsi="Times New Roman" w:cs="Times New Roman"/>
                <w:color w:val="auto"/>
              </w:rPr>
            </w:pPr>
            <w:r>
              <w:rPr>
                <w:rFonts w:hint="default" w:ascii="Times New Roman" w:hAnsi="Times New Roman" w:cs="Times New Roman"/>
                <w:color w:val="auto"/>
              </w:rPr>
              <w:t>2022年10月</w:t>
            </w:r>
          </w:p>
        </w:tc>
      </w:tr>
      <w:tr w14:paraId="7C5D3C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2F6D224C">
            <w:pPr>
              <w:pStyle w:val="26"/>
              <w:rPr>
                <w:rFonts w:hint="default" w:ascii="Times New Roman" w:hAnsi="Times New Roman" w:cs="Times New Roman"/>
                <w:color w:val="auto"/>
              </w:rPr>
            </w:pPr>
            <w:r>
              <w:rPr>
                <w:rFonts w:hint="default" w:ascii="Times New Roman" w:hAnsi="Times New Roman" w:cs="Times New Roman"/>
                <w:color w:val="auto"/>
              </w:rPr>
              <w:t>7</w:t>
            </w:r>
          </w:p>
        </w:tc>
        <w:tc>
          <w:tcPr>
            <w:tcW w:w="3333" w:type="dxa"/>
            <w:shd w:val="clear" w:color="auto" w:fill="auto"/>
            <w:vAlign w:val="center"/>
          </w:tcPr>
          <w:p w14:paraId="08C99AC0">
            <w:pPr>
              <w:pStyle w:val="26"/>
              <w:rPr>
                <w:rFonts w:hint="default" w:ascii="Times New Roman" w:hAnsi="Times New Roman" w:cs="Times New Roman"/>
                <w:color w:val="auto"/>
              </w:rPr>
            </w:pPr>
            <w:r>
              <w:rPr>
                <w:rFonts w:hint="default" w:ascii="Times New Roman" w:hAnsi="Times New Roman" w:cs="Times New Roman"/>
                <w:color w:val="auto"/>
              </w:rPr>
              <w:t>吉林省-延边州-延吉市</w:t>
            </w:r>
          </w:p>
        </w:tc>
        <w:tc>
          <w:tcPr>
            <w:tcW w:w="1990" w:type="dxa"/>
            <w:shd w:val="clear" w:color="auto" w:fill="auto"/>
            <w:vAlign w:val="center"/>
          </w:tcPr>
          <w:p w14:paraId="394262C2">
            <w:pPr>
              <w:pStyle w:val="26"/>
              <w:rPr>
                <w:rFonts w:hint="default" w:ascii="Times New Roman" w:hAnsi="Times New Roman" w:cs="Times New Roman"/>
                <w:color w:val="auto"/>
              </w:rPr>
            </w:pPr>
            <w:r>
              <w:rPr>
                <w:rFonts w:hint="default" w:ascii="Times New Roman" w:hAnsi="Times New Roman" w:cs="Times New Roman"/>
                <w:color w:val="auto"/>
              </w:rPr>
              <w:t>3</w:t>
            </w:r>
          </w:p>
        </w:tc>
        <w:tc>
          <w:tcPr>
            <w:tcW w:w="2032" w:type="dxa"/>
            <w:shd w:val="clear" w:color="auto" w:fill="auto"/>
            <w:vAlign w:val="center"/>
          </w:tcPr>
          <w:p w14:paraId="42D3905B">
            <w:pPr>
              <w:pStyle w:val="26"/>
              <w:rPr>
                <w:rFonts w:hint="default" w:ascii="Times New Roman" w:hAnsi="Times New Roman" w:cs="Times New Roman"/>
                <w:color w:val="auto"/>
              </w:rPr>
            </w:pPr>
            <w:r>
              <w:rPr>
                <w:rFonts w:hint="default" w:ascii="Times New Roman" w:hAnsi="Times New Roman" w:cs="Times New Roman"/>
                <w:color w:val="auto"/>
              </w:rPr>
              <w:t>41.34</w:t>
            </w:r>
          </w:p>
        </w:tc>
        <w:tc>
          <w:tcPr>
            <w:tcW w:w="1694" w:type="dxa"/>
            <w:shd w:val="clear" w:color="auto" w:fill="auto"/>
            <w:vAlign w:val="center"/>
          </w:tcPr>
          <w:p w14:paraId="4955D1C5">
            <w:pPr>
              <w:pStyle w:val="26"/>
              <w:rPr>
                <w:rFonts w:hint="default" w:ascii="Times New Roman" w:hAnsi="Times New Roman" w:cs="Times New Roman"/>
                <w:color w:val="auto"/>
              </w:rPr>
            </w:pPr>
            <w:r>
              <w:rPr>
                <w:rFonts w:hint="default" w:ascii="Times New Roman" w:hAnsi="Times New Roman" w:cs="Times New Roman"/>
                <w:color w:val="auto"/>
              </w:rPr>
              <w:t>2022年8月</w:t>
            </w:r>
          </w:p>
        </w:tc>
      </w:tr>
      <w:tr w14:paraId="3D718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1FF31E5B">
            <w:pPr>
              <w:pStyle w:val="26"/>
              <w:rPr>
                <w:rFonts w:hint="default" w:ascii="Times New Roman" w:hAnsi="Times New Roman" w:cs="Times New Roman"/>
                <w:color w:val="auto"/>
              </w:rPr>
            </w:pPr>
            <w:r>
              <w:rPr>
                <w:rFonts w:hint="default" w:ascii="Times New Roman" w:hAnsi="Times New Roman" w:cs="Times New Roman"/>
                <w:color w:val="auto"/>
              </w:rPr>
              <w:t>8</w:t>
            </w:r>
          </w:p>
        </w:tc>
        <w:tc>
          <w:tcPr>
            <w:tcW w:w="3333" w:type="dxa"/>
            <w:shd w:val="clear" w:color="auto" w:fill="auto"/>
            <w:vAlign w:val="center"/>
          </w:tcPr>
          <w:p w14:paraId="4CE0496C">
            <w:pPr>
              <w:pStyle w:val="26"/>
              <w:rPr>
                <w:rFonts w:hint="default" w:ascii="Times New Roman" w:hAnsi="Times New Roman" w:cs="Times New Roman"/>
                <w:color w:val="auto"/>
                <w:lang w:eastAsia="zh-CN"/>
              </w:rPr>
            </w:pPr>
            <w:r>
              <w:rPr>
                <w:rFonts w:hint="default" w:ascii="Times New Roman" w:hAnsi="Times New Roman" w:cs="Times New Roman"/>
                <w:color w:val="auto"/>
                <w:lang w:eastAsia="zh-CN"/>
              </w:rPr>
              <w:t>辽宁省-葫芦岛市-建昌县</w:t>
            </w:r>
          </w:p>
        </w:tc>
        <w:tc>
          <w:tcPr>
            <w:tcW w:w="1990" w:type="dxa"/>
            <w:shd w:val="clear" w:color="auto" w:fill="auto"/>
            <w:vAlign w:val="center"/>
          </w:tcPr>
          <w:p w14:paraId="536D8F32">
            <w:pPr>
              <w:pStyle w:val="26"/>
              <w:rPr>
                <w:rFonts w:hint="default" w:ascii="Times New Roman" w:hAnsi="Times New Roman" w:cs="Times New Roman"/>
                <w:color w:val="auto"/>
              </w:rPr>
            </w:pPr>
            <w:r>
              <w:rPr>
                <w:rFonts w:hint="default" w:ascii="Times New Roman" w:hAnsi="Times New Roman" w:cs="Times New Roman"/>
                <w:color w:val="auto"/>
              </w:rPr>
              <w:t>6</w:t>
            </w:r>
          </w:p>
        </w:tc>
        <w:tc>
          <w:tcPr>
            <w:tcW w:w="2032" w:type="dxa"/>
            <w:shd w:val="clear" w:color="auto" w:fill="auto"/>
            <w:vAlign w:val="center"/>
          </w:tcPr>
          <w:p w14:paraId="2D1B5EA3">
            <w:pPr>
              <w:pStyle w:val="26"/>
              <w:rPr>
                <w:rFonts w:hint="default" w:ascii="Times New Roman" w:hAnsi="Times New Roman" w:cs="Times New Roman"/>
                <w:color w:val="auto"/>
              </w:rPr>
            </w:pPr>
            <w:r>
              <w:rPr>
                <w:rFonts w:hint="default" w:ascii="Times New Roman" w:hAnsi="Times New Roman" w:cs="Times New Roman"/>
                <w:color w:val="auto"/>
              </w:rPr>
              <w:t>1.883</w:t>
            </w:r>
          </w:p>
        </w:tc>
        <w:tc>
          <w:tcPr>
            <w:tcW w:w="1694" w:type="dxa"/>
            <w:shd w:val="clear" w:color="auto" w:fill="auto"/>
            <w:vAlign w:val="center"/>
          </w:tcPr>
          <w:p w14:paraId="0E0A5528">
            <w:pPr>
              <w:pStyle w:val="26"/>
              <w:rPr>
                <w:rFonts w:hint="default" w:ascii="Times New Roman" w:hAnsi="Times New Roman" w:cs="Times New Roman"/>
                <w:color w:val="auto"/>
              </w:rPr>
            </w:pPr>
            <w:r>
              <w:rPr>
                <w:rFonts w:hint="default" w:ascii="Times New Roman" w:hAnsi="Times New Roman" w:cs="Times New Roman"/>
                <w:color w:val="auto"/>
              </w:rPr>
              <w:t>2022年11月</w:t>
            </w:r>
          </w:p>
        </w:tc>
      </w:tr>
      <w:tr w14:paraId="74ECD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483B8FBF">
            <w:pPr>
              <w:pStyle w:val="26"/>
              <w:rPr>
                <w:rFonts w:hint="default" w:ascii="Times New Roman" w:hAnsi="Times New Roman" w:cs="Times New Roman"/>
                <w:color w:val="auto"/>
              </w:rPr>
            </w:pPr>
            <w:r>
              <w:rPr>
                <w:rFonts w:hint="default" w:ascii="Times New Roman" w:hAnsi="Times New Roman" w:cs="Times New Roman"/>
                <w:color w:val="auto"/>
              </w:rPr>
              <w:t>9</w:t>
            </w:r>
          </w:p>
        </w:tc>
        <w:tc>
          <w:tcPr>
            <w:tcW w:w="3333" w:type="dxa"/>
            <w:shd w:val="clear" w:color="auto" w:fill="auto"/>
            <w:vAlign w:val="center"/>
          </w:tcPr>
          <w:p w14:paraId="30065C31">
            <w:pPr>
              <w:pStyle w:val="26"/>
              <w:rPr>
                <w:rFonts w:hint="default" w:ascii="Times New Roman" w:hAnsi="Times New Roman" w:cs="Times New Roman"/>
                <w:color w:val="auto"/>
              </w:rPr>
            </w:pPr>
            <w:r>
              <w:rPr>
                <w:rFonts w:hint="default" w:ascii="Times New Roman" w:hAnsi="Times New Roman" w:cs="Times New Roman"/>
                <w:color w:val="auto"/>
              </w:rPr>
              <w:t>江苏省-扬州市-仪征市</w:t>
            </w:r>
          </w:p>
        </w:tc>
        <w:tc>
          <w:tcPr>
            <w:tcW w:w="1990" w:type="dxa"/>
            <w:shd w:val="clear" w:color="auto" w:fill="auto"/>
            <w:vAlign w:val="center"/>
          </w:tcPr>
          <w:p w14:paraId="7F0B9A6A">
            <w:pPr>
              <w:pStyle w:val="26"/>
              <w:rPr>
                <w:rFonts w:hint="default" w:ascii="Times New Roman" w:hAnsi="Times New Roman" w:cs="Times New Roman"/>
                <w:color w:val="auto"/>
              </w:rPr>
            </w:pPr>
            <w:r>
              <w:rPr>
                <w:rFonts w:hint="default" w:ascii="Times New Roman" w:hAnsi="Times New Roman" w:cs="Times New Roman"/>
                <w:color w:val="auto"/>
              </w:rPr>
              <w:t>6</w:t>
            </w:r>
          </w:p>
        </w:tc>
        <w:tc>
          <w:tcPr>
            <w:tcW w:w="2032" w:type="dxa"/>
            <w:shd w:val="clear" w:color="auto" w:fill="auto"/>
            <w:vAlign w:val="center"/>
          </w:tcPr>
          <w:p w14:paraId="7B2FD3CF">
            <w:pPr>
              <w:pStyle w:val="26"/>
              <w:rPr>
                <w:rFonts w:hint="default" w:ascii="Times New Roman" w:hAnsi="Times New Roman" w:cs="Times New Roman"/>
                <w:color w:val="auto"/>
              </w:rPr>
            </w:pPr>
            <w:r>
              <w:rPr>
                <w:rFonts w:hint="default" w:ascii="Times New Roman" w:hAnsi="Times New Roman" w:cs="Times New Roman"/>
                <w:color w:val="auto"/>
              </w:rPr>
              <w:t>-</w:t>
            </w:r>
          </w:p>
        </w:tc>
        <w:tc>
          <w:tcPr>
            <w:tcW w:w="1694" w:type="dxa"/>
            <w:shd w:val="clear" w:color="auto" w:fill="auto"/>
            <w:vAlign w:val="center"/>
          </w:tcPr>
          <w:p w14:paraId="74DD9D6A">
            <w:pPr>
              <w:pStyle w:val="26"/>
              <w:rPr>
                <w:rFonts w:hint="default" w:ascii="Times New Roman" w:hAnsi="Times New Roman" w:cs="Times New Roman"/>
                <w:color w:val="auto"/>
              </w:rPr>
            </w:pPr>
            <w:r>
              <w:rPr>
                <w:rFonts w:hint="default" w:ascii="Times New Roman" w:hAnsi="Times New Roman" w:cs="Times New Roman"/>
                <w:color w:val="auto"/>
              </w:rPr>
              <w:t>2023年10月</w:t>
            </w:r>
          </w:p>
        </w:tc>
      </w:tr>
      <w:tr w14:paraId="30AFDC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3D021A8F">
            <w:pPr>
              <w:pStyle w:val="26"/>
              <w:rPr>
                <w:rFonts w:hint="default" w:ascii="Times New Roman" w:hAnsi="Times New Roman" w:cs="Times New Roman"/>
                <w:color w:val="auto"/>
              </w:rPr>
            </w:pPr>
            <w:r>
              <w:rPr>
                <w:rFonts w:hint="default" w:ascii="Times New Roman" w:hAnsi="Times New Roman" w:cs="Times New Roman"/>
                <w:color w:val="auto"/>
              </w:rPr>
              <w:t>10</w:t>
            </w:r>
          </w:p>
        </w:tc>
        <w:tc>
          <w:tcPr>
            <w:tcW w:w="3333" w:type="dxa"/>
            <w:shd w:val="clear" w:color="auto" w:fill="auto"/>
            <w:vAlign w:val="center"/>
          </w:tcPr>
          <w:p w14:paraId="14C1B2E6">
            <w:pPr>
              <w:pStyle w:val="26"/>
              <w:rPr>
                <w:rFonts w:hint="default" w:ascii="Times New Roman" w:hAnsi="Times New Roman" w:cs="Times New Roman"/>
                <w:color w:val="auto"/>
              </w:rPr>
            </w:pPr>
            <w:r>
              <w:rPr>
                <w:rFonts w:hint="default" w:ascii="Times New Roman" w:hAnsi="Times New Roman" w:cs="Times New Roman"/>
                <w:color w:val="auto"/>
              </w:rPr>
              <w:t>吉林省-长春市</w:t>
            </w:r>
          </w:p>
        </w:tc>
        <w:tc>
          <w:tcPr>
            <w:tcW w:w="1990" w:type="dxa"/>
            <w:shd w:val="clear" w:color="auto" w:fill="auto"/>
            <w:vAlign w:val="center"/>
          </w:tcPr>
          <w:p w14:paraId="65F8D7F3">
            <w:pPr>
              <w:pStyle w:val="26"/>
              <w:rPr>
                <w:rFonts w:hint="default" w:ascii="Times New Roman" w:hAnsi="Times New Roman" w:cs="Times New Roman"/>
                <w:color w:val="auto"/>
              </w:rPr>
            </w:pPr>
            <w:r>
              <w:rPr>
                <w:rFonts w:hint="default" w:ascii="Times New Roman" w:hAnsi="Times New Roman" w:cs="Times New Roman"/>
                <w:color w:val="auto"/>
              </w:rPr>
              <w:t>47</w:t>
            </w:r>
          </w:p>
        </w:tc>
        <w:tc>
          <w:tcPr>
            <w:tcW w:w="2032" w:type="dxa"/>
            <w:shd w:val="clear" w:color="auto" w:fill="auto"/>
            <w:vAlign w:val="center"/>
          </w:tcPr>
          <w:p w14:paraId="1681808A">
            <w:pPr>
              <w:pStyle w:val="26"/>
              <w:rPr>
                <w:rFonts w:hint="default" w:ascii="Times New Roman" w:hAnsi="Times New Roman" w:cs="Times New Roman"/>
                <w:color w:val="auto"/>
              </w:rPr>
            </w:pPr>
            <w:r>
              <w:rPr>
                <w:rFonts w:hint="default" w:ascii="Times New Roman" w:hAnsi="Times New Roman" w:cs="Times New Roman"/>
                <w:color w:val="auto"/>
              </w:rPr>
              <w:t>67.52</w:t>
            </w:r>
          </w:p>
        </w:tc>
        <w:tc>
          <w:tcPr>
            <w:tcW w:w="1694" w:type="dxa"/>
            <w:shd w:val="clear" w:color="auto" w:fill="auto"/>
            <w:vAlign w:val="center"/>
          </w:tcPr>
          <w:p w14:paraId="012CD9E5">
            <w:pPr>
              <w:pStyle w:val="26"/>
              <w:rPr>
                <w:rFonts w:hint="default" w:ascii="Times New Roman" w:hAnsi="Times New Roman" w:cs="Times New Roman"/>
                <w:color w:val="auto"/>
              </w:rPr>
            </w:pPr>
            <w:r>
              <w:rPr>
                <w:rFonts w:hint="default" w:ascii="Times New Roman" w:hAnsi="Times New Roman" w:cs="Times New Roman"/>
                <w:color w:val="auto"/>
              </w:rPr>
              <w:t>2023年12月</w:t>
            </w:r>
          </w:p>
        </w:tc>
      </w:tr>
      <w:tr w14:paraId="1E068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65B1419E">
            <w:pPr>
              <w:pStyle w:val="26"/>
              <w:rPr>
                <w:rFonts w:hint="default" w:ascii="Times New Roman" w:hAnsi="Times New Roman" w:cs="Times New Roman"/>
                <w:color w:val="auto"/>
              </w:rPr>
            </w:pPr>
            <w:r>
              <w:rPr>
                <w:rFonts w:hint="default" w:ascii="Times New Roman" w:hAnsi="Times New Roman" w:cs="Times New Roman"/>
                <w:color w:val="auto"/>
              </w:rPr>
              <w:t>11</w:t>
            </w:r>
          </w:p>
        </w:tc>
        <w:tc>
          <w:tcPr>
            <w:tcW w:w="3333" w:type="dxa"/>
            <w:shd w:val="clear" w:color="auto" w:fill="auto"/>
            <w:vAlign w:val="center"/>
          </w:tcPr>
          <w:p w14:paraId="5C2F4A43">
            <w:pPr>
              <w:pStyle w:val="26"/>
              <w:rPr>
                <w:rFonts w:hint="default" w:ascii="Times New Roman" w:hAnsi="Times New Roman" w:cs="Times New Roman"/>
                <w:color w:val="auto"/>
              </w:rPr>
            </w:pPr>
            <w:r>
              <w:rPr>
                <w:rFonts w:hint="default" w:ascii="Times New Roman" w:hAnsi="Times New Roman" w:cs="Times New Roman"/>
                <w:color w:val="auto"/>
              </w:rPr>
              <w:t>山东-烟台市-莱山区</w:t>
            </w:r>
          </w:p>
        </w:tc>
        <w:tc>
          <w:tcPr>
            <w:tcW w:w="1990" w:type="dxa"/>
            <w:shd w:val="clear" w:color="auto" w:fill="auto"/>
            <w:vAlign w:val="center"/>
          </w:tcPr>
          <w:p w14:paraId="1D40D83D">
            <w:pPr>
              <w:pStyle w:val="26"/>
              <w:rPr>
                <w:rFonts w:hint="default" w:ascii="Times New Roman" w:hAnsi="Times New Roman" w:cs="Times New Roman"/>
                <w:color w:val="auto"/>
              </w:rPr>
            </w:pPr>
            <w:r>
              <w:rPr>
                <w:rFonts w:hint="default" w:ascii="Times New Roman" w:hAnsi="Times New Roman" w:cs="Times New Roman"/>
                <w:color w:val="auto"/>
              </w:rPr>
              <w:t>1</w:t>
            </w:r>
          </w:p>
        </w:tc>
        <w:tc>
          <w:tcPr>
            <w:tcW w:w="2032" w:type="dxa"/>
            <w:shd w:val="clear" w:color="auto" w:fill="auto"/>
            <w:vAlign w:val="center"/>
          </w:tcPr>
          <w:p w14:paraId="5BB46537">
            <w:pPr>
              <w:pStyle w:val="26"/>
              <w:rPr>
                <w:rFonts w:hint="default" w:ascii="Times New Roman" w:hAnsi="Times New Roman" w:cs="Times New Roman"/>
                <w:color w:val="auto"/>
              </w:rPr>
            </w:pPr>
            <w:r>
              <w:rPr>
                <w:rFonts w:hint="default" w:ascii="Times New Roman" w:hAnsi="Times New Roman" w:cs="Times New Roman"/>
                <w:color w:val="auto"/>
              </w:rPr>
              <w:t>1.07</w:t>
            </w:r>
          </w:p>
        </w:tc>
        <w:tc>
          <w:tcPr>
            <w:tcW w:w="1694" w:type="dxa"/>
            <w:shd w:val="clear" w:color="auto" w:fill="auto"/>
            <w:vAlign w:val="center"/>
          </w:tcPr>
          <w:p w14:paraId="329BCCA4">
            <w:pPr>
              <w:pStyle w:val="26"/>
              <w:rPr>
                <w:rFonts w:hint="default" w:ascii="Times New Roman" w:hAnsi="Times New Roman" w:cs="Times New Roman"/>
                <w:color w:val="auto"/>
              </w:rPr>
            </w:pPr>
            <w:r>
              <w:rPr>
                <w:rFonts w:hint="default" w:ascii="Times New Roman" w:hAnsi="Times New Roman" w:cs="Times New Roman"/>
                <w:color w:val="auto"/>
              </w:rPr>
              <w:t>2023年12月</w:t>
            </w:r>
          </w:p>
        </w:tc>
      </w:tr>
      <w:tr w14:paraId="161C3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7C1D5C2D">
            <w:pPr>
              <w:pStyle w:val="26"/>
              <w:rPr>
                <w:rFonts w:hint="default" w:ascii="Times New Roman" w:hAnsi="Times New Roman" w:cs="Times New Roman"/>
                <w:color w:val="auto"/>
              </w:rPr>
            </w:pPr>
            <w:r>
              <w:rPr>
                <w:rFonts w:hint="default" w:ascii="Times New Roman" w:hAnsi="Times New Roman" w:cs="Times New Roman"/>
                <w:color w:val="auto"/>
              </w:rPr>
              <w:t>12</w:t>
            </w:r>
          </w:p>
        </w:tc>
        <w:tc>
          <w:tcPr>
            <w:tcW w:w="3333" w:type="dxa"/>
            <w:shd w:val="clear" w:color="auto" w:fill="auto"/>
            <w:vAlign w:val="center"/>
          </w:tcPr>
          <w:p w14:paraId="0D66320C">
            <w:pPr>
              <w:pStyle w:val="26"/>
              <w:rPr>
                <w:rFonts w:hint="default" w:ascii="Times New Roman" w:hAnsi="Times New Roman" w:cs="Times New Roman"/>
                <w:color w:val="auto"/>
              </w:rPr>
            </w:pPr>
            <w:r>
              <w:rPr>
                <w:rFonts w:hint="default" w:ascii="Times New Roman" w:hAnsi="Times New Roman" w:cs="Times New Roman"/>
                <w:color w:val="auto"/>
              </w:rPr>
              <w:t>山东-烟台市-福山区</w:t>
            </w:r>
          </w:p>
        </w:tc>
        <w:tc>
          <w:tcPr>
            <w:tcW w:w="1990" w:type="dxa"/>
            <w:shd w:val="clear" w:color="auto" w:fill="auto"/>
            <w:vAlign w:val="center"/>
          </w:tcPr>
          <w:p w14:paraId="249AA80A">
            <w:pPr>
              <w:pStyle w:val="26"/>
              <w:rPr>
                <w:rFonts w:hint="default" w:ascii="Times New Roman" w:hAnsi="Times New Roman" w:cs="Times New Roman"/>
                <w:color w:val="auto"/>
              </w:rPr>
            </w:pPr>
            <w:r>
              <w:rPr>
                <w:rFonts w:hint="default" w:ascii="Times New Roman" w:hAnsi="Times New Roman" w:cs="Times New Roman"/>
                <w:color w:val="auto"/>
              </w:rPr>
              <w:t>1</w:t>
            </w:r>
          </w:p>
        </w:tc>
        <w:tc>
          <w:tcPr>
            <w:tcW w:w="2032" w:type="dxa"/>
            <w:shd w:val="clear" w:color="auto" w:fill="auto"/>
            <w:vAlign w:val="center"/>
          </w:tcPr>
          <w:p w14:paraId="5C2D4B84">
            <w:pPr>
              <w:pStyle w:val="26"/>
              <w:rPr>
                <w:rFonts w:hint="default" w:ascii="Times New Roman" w:hAnsi="Times New Roman" w:cs="Times New Roman"/>
                <w:color w:val="auto"/>
              </w:rPr>
            </w:pPr>
            <w:r>
              <w:rPr>
                <w:rFonts w:hint="default" w:ascii="Times New Roman" w:hAnsi="Times New Roman" w:cs="Times New Roman"/>
                <w:color w:val="auto"/>
              </w:rPr>
              <w:t>0.67</w:t>
            </w:r>
          </w:p>
        </w:tc>
        <w:tc>
          <w:tcPr>
            <w:tcW w:w="1694" w:type="dxa"/>
            <w:shd w:val="clear" w:color="auto" w:fill="auto"/>
            <w:vAlign w:val="center"/>
          </w:tcPr>
          <w:p w14:paraId="50B6F685">
            <w:pPr>
              <w:pStyle w:val="26"/>
              <w:rPr>
                <w:rFonts w:hint="default" w:ascii="Times New Roman" w:hAnsi="Times New Roman" w:cs="Times New Roman"/>
                <w:color w:val="auto"/>
              </w:rPr>
            </w:pPr>
            <w:r>
              <w:rPr>
                <w:rFonts w:hint="default" w:ascii="Times New Roman" w:hAnsi="Times New Roman" w:cs="Times New Roman"/>
                <w:color w:val="auto"/>
              </w:rPr>
              <w:t>2023年12月</w:t>
            </w:r>
          </w:p>
        </w:tc>
      </w:tr>
      <w:tr w14:paraId="58912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5399DF8D">
            <w:pPr>
              <w:pStyle w:val="26"/>
              <w:rPr>
                <w:rFonts w:hint="default" w:ascii="Times New Roman" w:hAnsi="Times New Roman" w:cs="Times New Roman"/>
                <w:color w:val="auto"/>
              </w:rPr>
            </w:pPr>
            <w:r>
              <w:rPr>
                <w:rFonts w:hint="default" w:ascii="Times New Roman" w:hAnsi="Times New Roman" w:cs="Times New Roman"/>
                <w:color w:val="auto"/>
              </w:rPr>
              <w:t>13</w:t>
            </w:r>
          </w:p>
        </w:tc>
        <w:tc>
          <w:tcPr>
            <w:tcW w:w="3333" w:type="dxa"/>
            <w:shd w:val="clear" w:color="auto" w:fill="auto"/>
            <w:vAlign w:val="center"/>
          </w:tcPr>
          <w:p w14:paraId="5122125E">
            <w:pPr>
              <w:pStyle w:val="26"/>
              <w:rPr>
                <w:rFonts w:hint="default" w:ascii="Times New Roman" w:hAnsi="Times New Roman" w:cs="Times New Roman"/>
                <w:color w:val="auto"/>
              </w:rPr>
            </w:pPr>
            <w:r>
              <w:rPr>
                <w:rFonts w:hint="default" w:ascii="Times New Roman" w:hAnsi="Times New Roman" w:cs="Times New Roman"/>
                <w:color w:val="auto"/>
              </w:rPr>
              <w:t>山东省-烟台市-芝罘区</w:t>
            </w:r>
          </w:p>
        </w:tc>
        <w:tc>
          <w:tcPr>
            <w:tcW w:w="1990" w:type="dxa"/>
            <w:shd w:val="clear" w:color="auto" w:fill="auto"/>
            <w:vAlign w:val="center"/>
          </w:tcPr>
          <w:p w14:paraId="23277A70">
            <w:pPr>
              <w:pStyle w:val="26"/>
              <w:rPr>
                <w:rFonts w:hint="default" w:ascii="Times New Roman" w:hAnsi="Times New Roman" w:cs="Times New Roman"/>
                <w:color w:val="auto"/>
              </w:rPr>
            </w:pPr>
            <w:r>
              <w:rPr>
                <w:rFonts w:hint="default" w:ascii="Times New Roman" w:hAnsi="Times New Roman" w:cs="Times New Roman"/>
                <w:color w:val="auto"/>
              </w:rPr>
              <w:t>1</w:t>
            </w:r>
          </w:p>
        </w:tc>
        <w:tc>
          <w:tcPr>
            <w:tcW w:w="2032" w:type="dxa"/>
            <w:shd w:val="clear" w:color="auto" w:fill="auto"/>
            <w:vAlign w:val="center"/>
          </w:tcPr>
          <w:p w14:paraId="3C90EFCE">
            <w:pPr>
              <w:pStyle w:val="26"/>
              <w:rPr>
                <w:rFonts w:hint="default" w:ascii="Times New Roman" w:hAnsi="Times New Roman" w:cs="Times New Roman"/>
                <w:color w:val="auto"/>
              </w:rPr>
            </w:pPr>
            <w:r>
              <w:rPr>
                <w:rFonts w:hint="default" w:ascii="Times New Roman" w:hAnsi="Times New Roman" w:cs="Times New Roman"/>
                <w:color w:val="auto"/>
              </w:rPr>
              <w:t>0.52</w:t>
            </w:r>
          </w:p>
        </w:tc>
        <w:tc>
          <w:tcPr>
            <w:tcW w:w="1694" w:type="dxa"/>
            <w:shd w:val="clear" w:color="auto" w:fill="auto"/>
            <w:vAlign w:val="center"/>
          </w:tcPr>
          <w:p w14:paraId="1F4C98DD">
            <w:pPr>
              <w:pStyle w:val="26"/>
              <w:rPr>
                <w:rFonts w:hint="default" w:ascii="Times New Roman" w:hAnsi="Times New Roman" w:cs="Times New Roman"/>
                <w:color w:val="auto"/>
              </w:rPr>
            </w:pPr>
            <w:r>
              <w:rPr>
                <w:rFonts w:hint="default" w:ascii="Times New Roman" w:hAnsi="Times New Roman" w:cs="Times New Roman"/>
                <w:color w:val="auto"/>
              </w:rPr>
              <w:t>2024年2月</w:t>
            </w:r>
          </w:p>
        </w:tc>
      </w:tr>
      <w:tr w14:paraId="3098E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06" w:type="dxa"/>
            <w:shd w:val="clear" w:color="auto" w:fill="auto"/>
            <w:vAlign w:val="center"/>
          </w:tcPr>
          <w:p w14:paraId="5388BD76">
            <w:pPr>
              <w:pStyle w:val="26"/>
              <w:rPr>
                <w:rFonts w:hint="default" w:ascii="Times New Roman" w:hAnsi="Times New Roman" w:cs="Times New Roman"/>
                <w:color w:val="auto"/>
              </w:rPr>
            </w:pPr>
            <w:r>
              <w:rPr>
                <w:rFonts w:hint="default" w:ascii="Times New Roman" w:hAnsi="Times New Roman" w:cs="Times New Roman"/>
                <w:color w:val="auto"/>
              </w:rPr>
              <w:t>14</w:t>
            </w:r>
          </w:p>
        </w:tc>
        <w:tc>
          <w:tcPr>
            <w:tcW w:w="3333" w:type="dxa"/>
            <w:shd w:val="clear" w:color="auto" w:fill="auto"/>
            <w:vAlign w:val="center"/>
          </w:tcPr>
          <w:p w14:paraId="3FD941AB">
            <w:pPr>
              <w:pStyle w:val="26"/>
              <w:rPr>
                <w:rFonts w:hint="default" w:ascii="Times New Roman" w:hAnsi="Times New Roman" w:cs="Times New Roman"/>
                <w:color w:val="auto"/>
              </w:rPr>
            </w:pPr>
            <w:r>
              <w:rPr>
                <w:rFonts w:hint="default" w:ascii="Times New Roman" w:hAnsi="Times New Roman" w:cs="Times New Roman"/>
                <w:color w:val="auto"/>
              </w:rPr>
              <w:t>北京市-朝阳区</w:t>
            </w:r>
          </w:p>
        </w:tc>
        <w:tc>
          <w:tcPr>
            <w:tcW w:w="1990" w:type="dxa"/>
            <w:shd w:val="clear" w:color="auto" w:fill="auto"/>
            <w:vAlign w:val="center"/>
          </w:tcPr>
          <w:p w14:paraId="0CB902E2">
            <w:pPr>
              <w:pStyle w:val="26"/>
              <w:rPr>
                <w:rFonts w:hint="default" w:ascii="Times New Roman" w:hAnsi="Times New Roman" w:cs="Times New Roman"/>
                <w:color w:val="auto"/>
              </w:rPr>
            </w:pPr>
            <w:r>
              <w:rPr>
                <w:rFonts w:hint="default" w:ascii="Times New Roman" w:hAnsi="Times New Roman" w:cs="Times New Roman"/>
                <w:color w:val="auto"/>
              </w:rPr>
              <w:t>370</w:t>
            </w:r>
          </w:p>
        </w:tc>
        <w:tc>
          <w:tcPr>
            <w:tcW w:w="2032" w:type="dxa"/>
            <w:shd w:val="clear" w:color="auto" w:fill="auto"/>
            <w:vAlign w:val="center"/>
          </w:tcPr>
          <w:p w14:paraId="30B04FB3">
            <w:pPr>
              <w:pStyle w:val="26"/>
              <w:rPr>
                <w:rFonts w:hint="default" w:ascii="Times New Roman" w:hAnsi="Times New Roman" w:cs="Times New Roman"/>
                <w:color w:val="auto"/>
              </w:rPr>
            </w:pPr>
            <w:r>
              <w:rPr>
                <w:rFonts w:hint="default" w:ascii="Times New Roman" w:hAnsi="Times New Roman" w:cs="Times New Roman"/>
                <w:color w:val="auto"/>
              </w:rPr>
              <w:t>120.75</w:t>
            </w:r>
          </w:p>
        </w:tc>
        <w:tc>
          <w:tcPr>
            <w:tcW w:w="1694" w:type="dxa"/>
            <w:shd w:val="clear" w:color="auto" w:fill="auto"/>
            <w:vAlign w:val="center"/>
          </w:tcPr>
          <w:p w14:paraId="76EE5752">
            <w:pPr>
              <w:pStyle w:val="26"/>
              <w:rPr>
                <w:rFonts w:hint="default" w:ascii="Times New Roman" w:hAnsi="Times New Roman" w:cs="Times New Roman"/>
                <w:color w:val="auto"/>
              </w:rPr>
            </w:pPr>
            <w:r>
              <w:rPr>
                <w:rFonts w:hint="default" w:ascii="Times New Roman" w:hAnsi="Times New Roman" w:cs="Times New Roman"/>
                <w:color w:val="auto"/>
              </w:rPr>
              <w:t>2023年12月</w:t>
            </w:r>
          </w:p>
        </w:tc>
      </w:tr>
      <w:tr w14:paraId="41B12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750B90A4">
            <w:pPr>
              <w:pStyle w:val="26"/>
              <w:rPr>
                <w:rFonts w:hint="default" w:ascii="Times New Roman" w:hAnsi="Times New Roman" w:cs="Times New Roman"/>
                <w:color w:val="auto"/>
              </w:rPr>
            </w:pPr>
            <w:r>
              <w:rPr>
                <w:rFonts w:hint="default" w:ascii="Times New Roman" w:hAnsi="Times New Roman" w:cs="Times New Roman"/>
                <w:color w:val="auto"/>
              </w:rPr>
              <w:t>15</w:t>
            </w:r>
          </w:p>
        </w:tc>
        <w:tc>
          <w:tcPr>
            <w:tcW w:w="3333" w:type="dxa"/>
            <w:shd w:val="clear" w:color="auto" w:fill="auto"/>
            <w:vAlign w:val="center"/>
          </w:tcPr>
          <w:p w14:paraId="57B8D3D2">
            <w:pPr>
              <w:pStyle w:val="26"/>
              <w:rPr>
                <w:rFonts w:hint="default" w:ascii="Times New Roman" w:hAnsi="Times New Roman" w:cs="Times New Roman"/>
                <w:color w:val="auto"/>
              </w:rPr>
            </w:pPr>
            <w:r>
              <w:rPr>
                <w:rFonts w:hint="default" w:ascii="Times New Roman" w:hAnsi="Times New Roman" w:cs="Times New Roman"/>
                <w:color w:val="auto"/>
              </w:rPr>
              <w:t>河南省-三门峡市</w:t>
            </w:r>
          </w:p>
        </w:tc>
        <w:tc>
          <w:tcPr>
            <w:tcW w:w="1990" w:type="dxa"/>
            <w:shd w:val="clear" w:color="auto" w:fill="auto"/>
            <w:vAlign w:val="center"/>
          </w:tcPr>
          <w:p w14:paraId="68A2FD06">
            <w:pPr>
              <w:pStyle w:val="26"/>
              <w:rPr>
                <w:rFonts w:hint="default" w:ascii="Times New Roman" w:hAnsi="Times New Roman" w:cs="Times New Roman"/>
                <w:color w:val="auto"/>
              </w:rPr>
            </w:pPr>
            <w:r>
              <w:rPr>
                <w:rFonts w:hint="default" w:ascii="Times New Roman" w:hAnsi="Times New Roman" w:cs="Times New Roman"/>
                <w:color w:val="auto"/>
              </w:rPr>
              <w:t>20</w:t>
            </w:r>
          </w:p>
        </w:tc>
        <w:tc>
          <w:tcPr>
            <w:tcW w:w="2032" w:type="dxa"/>
            <w:shd w:val="clear" w:color="auto" w:fill="auto"/>
            <w:vAlign w:val="center"/>
          </w:tcPr>
          <w:p w14:paraId="4FD1B1EF">
            <w:pPr>
              <w:pStyle w:val="26"/>
              <w:rPr>
                <w:rFonts w:hint="default" w:ascii="Times New Roman" w:hAnsi="Times New Roman" w:cs="Times New Roman"/>
                <w:color w:val="auto"/>
              </w:rPr>
            </w:pPr>
            <w:r>
              <w:rPr>
                <w:rFonts w:hint="default" w:ascii="Times New Roman" w:hAnsi="Times New Roman" w:cs="Times New Roman"/>
                <w:color w:val="auto"/>
              </w:rPr>
              <w:t>4.51</w:t>
            </w:r>
          </w:p>
        </w:tc>
        <w:tc>
          <w:tcPr>
            <w:tcW w:w="1694" w:type="dxa"/>
            <w:shd w:val="clear" w:color="auto" w:fill="auto"/>
            <w:vAlign w:val="center"/>
          </w:tcPr>
          <w:p w14:paraId="3AA40719">
            <w:pPr>
              <w:pStyle w:val="26"/>
              <w:rPr>
                <w:rFonts w:hint="default" w:ascii="Times New Roman" w:hAnsi="Times New Roman" w:cs="Times New Roman"/>
                <w:color w:val="auto"/>
              </w:rPr>
            </w:pPr>
            <w:r>
              <w:rPr>
                <w:rFonts w:hint="default" w:ascii="Times New Roman" w:hAnsi="Times New Roman" w:cs="Times New Roman"/>
                <w:color w:val="auto"/>
              </w:rPr>
              <w:t>2024年11月</w:t>
            </w:r>
          </w:p>
        </w:tc>
      </w:tr>
      <w:tr w14:paraId="386E1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44E9B8D4">
            <w:pPr>
              <w:pStyle w:val="26"/>
              <w:rPr>
                <w:rFonts w:hint="default" w:ascii="Times New Roman" w:hAnsi="Times New Roman" w:cs="Times New Roman"/>
                <w:color w:val="auto"/>
              </w:rPr>
            </w:pPr>
            <w:r>
              <w:rPr>
                <w:rFonts w:hint="default" w:ascii="Times New Roman" w:hAnsi="Times New Roman" w:cs="Times New Roman"/>
                <w:color w:val="auto"/>
              </w:rPr>
              <w:t>16</w:t>
            </w:r>
          </w:p>
        </w:tc>
        <w:tc>
          <w:tcPr>
            <w:tcW w:w="3333" w:type="dxa"/>
            <w:shd w:val="clear" w:color="auto" w:fill="auto"/>
            <w:vAlign w:val="center"/>
          </w:tcPr>
          <w:p w14:paraId="55646BB0">
            <w:pPr>
              <w:pStyle w:val="26"/>
              <w:rPr>
                <w:rFonts w:hint="default" w:ascii="Times New Roman" w:hAnsi="Times New Roman" w:cs="Times New Roman"/>
                <w:color w:val="auto"/>
              </w:rPr>
            </w:pPr>
            <w:r>
              <w:rPr>
                <w:rFonts w:hint="default" w:ascii="Times New Roman" w:hAnsi="Times New Roman" w:cs="Times New Roman"/>
                <w:color w:val="auto"/>
              </w:rPr>
              <w:t>河南省-商丘市</w:t>
            </w:r>
          </w:p>
        </w:tc>
        <w:tc>
          <w:tcPr>
            <w:tcW w:w="1990" w:type="dxa"/>
            <w:shd w:val="clear" w:color="auto" w:fill="auto"/>
            <w:vAlign w:val="center"/>
          </w:tcPr>
          <w:p w14:paraId="08843481">
            <w:pPr>
              <w:pStyle w:val="26"/>
              <w:rPr>
                <w:rFonts w:hint="default" w:ascii="Times New Roman" w:hAnsi="Times New Roman" w:cs="Times New Roman"/>
                <w:color w:val="auto"/>
              </w:rPr>
            </w:pPr>
            <w:r>
              <w:rPr>
                <w:rFonts w:hint="default" w:ascii="Times New Roman" w:hAnsi="Times New Roman" w:cs="Times New Roman"/>
                <w:color w:val="auto"/>
              </w:rPr>
              <w:t>23</w:t>
            </w:r>
          </w:p>
        </w:tc>
        <w:tc>
          <w:tcPr>
            <w:tcW w:w="2032" w:type="dxa"/>
            <w:shd w:val="clear" w:color="auto" w:fill="auto"/>
            <w:vAlign w:val="center"/>
          </w:tcPr>
          <w:p w14:paraId="52DEEC1D">
            <w:pPr>
              <w:pStyle w:val="26"/>
              <w:rPr>
                <w:rFonts w:hint="default" w:ascii="Times New Roman" w:hAnsi="Times New Roman" w:cs="Times New Roman"/>
                <w:color w:val="auto"/>
              </w:rPr>
            </w:pPr>
            <w:r>
              <w:rPr>
                <w:rFonts w:hint="default" w:ascii="Times New Roman" w:hAnsi="Times New Roman" w:cs="Times New Roman"/>
                <w:color w:val="auto"/>
              </w:rPr>
              <w:t>5.50</w:t>
            </w:r>
          </w:p>
        </w:tc>
        <w:tc>
          <w:tcPr>
            <w:tcW w:w="1694" w:type="dxa"/>
            <w:shd w:val="clear" w:color="auto" w:fill="auto"/>
            <w:vAlign w:val="center"/>
          </w:tcPr>
          <w:p w14:paraId="4D14F7AA">
            <w:pPr>
              <w:pStyle w:val="26"/>
              <w:rPr>
                <w:rFonts w:hint="default" w:ascii="Times New Roman" w:hAnsi="Times New Roman" w:cs="Times New Roman"/>
                <w:color w:val="auto"/>
              </w:rPr>
            </w:pPr>
            <w:r>
              <w:rPr>
                <w:rFonts w:hint="default" w:ascii="Times New Roman" w:hAnsi="Times New Roman" w:cs="Times New Roman"/>
                <w:color w:val="auto"/>
              </w:rPr>
              <w:t>2024年8月</w:t>
            </w:r>
          </w:p>
        </w:tc>
      </w:tr>
      <w:tr w14:paraId="0DCF1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72FBE0B0">
            <w:pPr>
              <w:pStyle w:val="26"/>
              <w:rPr>
                <w:rFonts w:hint="default" w:ascii="Times New Roman" w:hAnsi="Times New Roman" w:cs="Times New Roman"/>
                <w:color w:val="auto"/>
              </w:rPr>
            </w:pPr>
            <w:r>
              <w:rPr>
                <w:rFonts w:hint="default" w:ascii="Times New Roman" w:hAnsi="Times New Roman" w:cs="Times New Roman"/>
                <w:color w:val="auto"/>
              </w:rPr>
              <w:t>17</w:t>
            </w:r>
          </w:p>
        </w:tc>
        <w:tc>
          <w:tcPr>
            <w:tcW w:w="3333" w:type="dxa"/>
            <w:shd w:val="clear" w:color="auto" w:fill="auto"/>
            <w:vAlign w:val="center"/>
          </w:tcPr>
          <w:p w14:paraId="43E7BC9E">
            <w:pPr>
              <w:pStyle w:val="26"/>
              <w:rPr>
                <w:rFonts w:hint="default" w:ascii="Times New Roman" w:hAnsi="Times New Roman" w:cs="Times New Roman"/>
                <w:color w:val="auto"/>
              </w:rPr>
            </w:pPr>
            <w:r>
              <w:rPr>
                <w:rFonts w:hint="default" w:ascii="Times New Roman" w:hAnsi="Times New Roman" w:cs="Times New Roman"/>
                <w:color w:val="auto"/>
              </w:rPr>
              <w:t>山东省-东营市</w:t>
            </w:r>
          </w:p>
        </w:tc>
        <w:tc>
          <w:tcPr>
            <w:tcW w:w="1990" w:type="dxa"/>
            <w:shd w:val="clear" w:color="auto" w:fill="auto"/>
            <w:vAlign w:val="center"/>
          </w:tcPr>
          <w:p w14:paraId="2C3BDCD4">
            <w:pPr>
              <w:pStyle w:val="26"/>
              <w:rPr>
                <w:rFonts w:hint="default" w:ascii="Times New Roman" w:hAnsi="Times New Roman" w:cs="Times New Roman"/>
                <w:color w:val="auto"/>
              </w:rPr>
            </w:pPr>
            <w:r>
              <w:rPr>
                <w:rFonts w:hint="default" w:ascii="Times New Roman" w:hAnsi="Times New Roman" w:cs="Times New Roman"/>
                <w:color w:val="auto"/>
              </w:rPr>
              <w:t>31</w:t>
            </w:r>
          </w:p>
        </w:tc>
        <w:tc>
          <w:tcPr>
            <w:tcW w:w="2032" w:type="dxa"/>
            <w:shd w:val="clear" w:color="auto" w:fill="auto"/>
            <w:vAlign w:val="center"/>
          </w:tcPr>
          <w:p w14:paraId="0F938C48">
            <w:pPr>
              <w:pStyle w:val="26"/>
              <w:rPr>
                <w:rFonts w:hint="default" w:ascii="Times New Roman" w:hAnsi="Times New Roman" w:cs="Times New Roman"/>
                <w:color w:val="auto"/>
              </w:rPr>
            </w:pPr>
            <w:r>
              <w:rPr>
                <w:rFonts w:hint="default" w:ascii="Times New Roman" w:hAnsi="Times New Roman" w:cs="Times New Roman"/>
                <w:color w:val="auto"/>
              </w:rPr>
              <w:t>55.42</w:t>
            </w:r>
          </w:p>
        </w:tc>
        <w:tc>
          <w:tcPr>
            <w:tcW w:w="1694" w:type="dxa"/>
            <w:shd w:val="clear" w:color="auto" w:fill="auto"/>
            <w:vAlign w:val="center"/>
          </w:tcPr>
          <w:p w14:paraId="2A7962C6">
            <w:pPr>
              <w:pStyle w:val="26"/>
              <w:rPr>
                <w:rFonts w:hint="default" w:ascii="Times New Roman" w:hAnsi="Times New Roman" w:cs="Times New Roman"/>
                <w:color w:val="auto"/>
              </w:rPr>
            </w:pPr>
            <w:r>
              <w:rPr>
                <w:rFonts w:hint="default" w:ascii="Times New Roman" w:hAnsi="Times New Roman" w:cs="Times New Roman"/>
                <w:color w:val="auto"/>
              </w:rPr>
              <w:t>2024年4月</w:t>
            </w:r>
          </w:p>
        </w:tc>
      </w:tr>
      <w:tr w14:paraId="5105E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5DB4FDBB">
            <w:pPr>
              <w:pStyle w:val="26"/>
              <w:rPr>
                <w:rFonts w:hint="default" w:ascii="Times New Roman" w:hAnsi="Times New Roman" w:cs="Times New Roman"/>
                <w:color w:val="auto"/>
              </w:rPr>
            </w:pPr>
            <w:r>
              <w:rPr>
                <w:rFonts w:hint="default" w:ascii="Times New Roman" w:hAnsi="Times New Roman" w:cs="Times New Roman"/>
                <w:color w:val="auto"/>
              </w:rPr>
              <w:t>18</w:t>
            </w:r>
          </w:p>
        </w:tc>
        <w:tc>
          <w:tcPr>
            <w:tcW w:w="3333" w:type="dxa"/>
            <w:shd w:val="clear" w:color="auto" w:fill="auto"/>
            <w:vAlign w:val="center"/>
          </w:tcPr>
          <w:p w14:paraId="0376C481">
            <w:pPr>
              <w:pStyle w:val="26"/>
              <w:rPr>
                <w:rFonts w:hint="default" w:ascii="Times New Roman" w:hAnsi="Times New Roman" w:cs="Times New Roman"/>
                <w:color w:val="auto"/>
              </w:rPr>
            </w:pPr>
            <w:r>
              <w:rPr>
                <w:rFonts w:hint="default" w:ascii="Times New Roman" w:hAnsi="Times New Roman" w:cs="Times New Roman"/>
                <w:color w:val="auto"/>
              </w:rPr>
              <w:t>山东省-枣庄市</w:t>
            </w:r>
          </w:p>
        </w:tc>
        <w:tc>
          <w:tcPr>
            <w:tcW w:w="1990" w:type="dxa"/>
            <w:shd w:val="clear" w:color="auto" w:fill="auto"/>
            <w:vAlign w:val="center"/>
          </w:tcPr>
          <w:p w14:paraId="7E5D4CF8">
            <w:pPr>
              <w:pStyle w:val="26"/>
              <w:rPr>
                <w:rFonts w:hint="default" w:ascii="Times New Roman" w:hAnsi="Times New Roman" w:cs="Times New Roman"/>
                <w:color w:val="auto"/>
              </w:rPr>
            </w:pPr>
            <w:r>
              <w:rPr>
                <w:rFonts w:hint="default" w:ascii="Times New Roman" w:hAnsi="Times New Roman" w:cs="Times New Roman"/>
                <w:color w:val="auto"/>
              </w:rPr>
              <w:t>29</w:t>
            </w:r>
          </w:p>
        </w:tc>
        <w:tc>
          <w:tcPr>
            <w:tcW w:w="2032" w:type="dxa"/>
            <w:shd w:val="clear" w:color="auto" w:fill="auto"/>
            <w:vAlign w:val="center"/>
          </w:tcPr>
          <w:p w14:paraId="5C5ECA91">
            <w:pPr>
              <w:pStyle w:val="26"/>
              <w:rPr>
                <w:rFonts w:hint="default" w:ascii="Times New Roman" w:hAnsi="Times New Roman" w:cs="Times New Roman"/>
                <w:color w:val="auto"/>
              </w:rPr>
            </w:pPr>
            <w:r>
              <w:rPr>
                <w:rFonts w:hint="default" w:ascii="Times New Roman" w:hAnsi="Times New Roman" w:cs="Times New Roman"/>
                <w:color w:val="auto"/>
              </w:rPr>
              <w:t>34.28</w:t>
            </w:r>
          </w:p>
        </w:tc>
        <w:tc>
          <w:tcPr>
            <w:tcW w:w="1694" w:type="dxa"/>
            <w:shd w:val="clear" w:color="auto" w:fill="auto"/>
            <w:vAlign w:val="center"/>
          </w:tcPr>
          <w:p w14:paraId="3B8DFBE9">
            <w:pPr>
              <w:pStyle w:val="26"/>
              <w:rPr>
                <w:rFonts w:hint="default" w:ascii="Times New Roman" w:hAnsi="Times New Roman" w:cs="Times New Roman"/>
                <w:color w:val="auto"/>
              </w:rPr>
            </w:pPr>
            <w:r>
              <w:rPr>
                <w:rFonts w:hint="default" w:ascii="Times New Roman" w:hAnsi="Times New Roman" w:cs="Times New Roman"/>
                <w:color w:val="auto"/>
              </w:rPr>
              <w:t>2024年11月</w:t>
            </w:r>
          </w:p>
        </w:tc>
      </w:tr>
      <w:tr w14:paraId="0E10C4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6B9456A4">
            <w:pPr>
              <w:pStyle w:val="26"/>
              <w:rPr>
                <w:rFonts w:hint="default" w:ascii="Times New Roman" w:hAnsi="Times New Roman" w:cs="Times New Roman"/>
                <w:color w:val="auto"/>
              </w:rPr>
            </w:pPr>
            <w:r>
              <w:rPr>
                <w:rFonts w:hint="default" w:ascii="Times New Roman" w:hAnsi="Times New Roman" w:cs="Times New Roman"/>
                <w:color w:val="auto"/>
              </w:rPr>
              <w:t>19</w:t>
            </w:r>
          </w:p>
        </w:tc>
        <w:tc>
          <w:tcPr>
            <w:tcW w:w="3333" w:type="dxa"/>
            <w:shd w:val="clear" w:color="auto" w:fill="auto"/>
            <w:vAlign w:val="center"/>
          </w:tcPr>
          <w:p w14:paraId="34CCBAC7">
            <w:pPr>
              <w:pStyle w:val="26"/>
              <w:rPr>
                <w:rFonts w:hint="default" w:ascii="Times New Roman" w:hAnsi="Times New Roman" w:cs="Times New Roman"/>
                <w:color w:val="auto"/>
              </w:rPr>
            </w:pPr>
            <w:r>
              <w:rPr>
                <w:rFonts w:hint="default" w:ascii="Times New Roman" w:hAnsi="Times New Roman" w:cs="Times New Roman"/>
                <w:color w:val="auto"/>
              </w:rPr>
              <w:t>浙江省-绍兴市-柯桥区</w:t>
            </w:r>
          </w:p>
        </w:tc>
        <w:tc>
          <w:tcPr>
            <w:tcW w:w="1990" w:type="dxa"/>
            <w:shd w:val="clear" w:color="auto" w:fill="auto"/>
            <w:vAlign w:val="center"/>
          </w:tcPr>
          <w:p w14:paraId="2D263F08">
            <w:pPr>
              <w:pStyle w:val="26"/>
              <w:rPr>
                <w:rFonts w:hint="default" w:ascii="Times New Roman" w:hAnsi="Times New Roman" w:cs="Times New Roman"/>
                <w:color w:val="auto"/>
              </w:rPr>
            </w:pPr>
            <w:r>
              <w:rPr>
                <w:rFonts w:hint="default" w:ascii="Times New Roman" w:hAnsi="Times New Roman" w:cs="Times New Roman"/>
                <w:color w:val="auto"/>
              </w:rPr>
              <w:t>6</w:t>
            </w:r>
          </w:p>
        </w:tc>
        <w:tc>
          <w:tcPr>
            <w:tcW w:w="2032" w:type="dxa"/>
            <w:shd w:val="clear" w:color="auto" w:fill="auto"/>
            <w:vAlign w:val="center"/>
          </w:tcPr>
          <w:p w14:paraId="2F4CEE79">
            <w:pPr>
              <w:pStyle w:val="26"/>
              <w:rPr>
                <w:rFonts w:hint="default" w:ascii="Times New Roman" w:hAnsi="Times New Roman" w:cs="Times New Roman"/>
                <w:color w:val="auto"/>
              </w:rPr>
            </w:pPr>
            <w:r>
              <w:rPr>
                <w:rFonts w:hint="default" w:ascii="Times New Roman" w:hAnsi="Times New Roman" w:cs="Times New Roman"/>
                <w:color w:val="auto"/>
              </w:rPr>
              <w:t>15.9</w:t>
            </w:r>
          </w:p>
        </w:tc>
        <w:tc>
          <w:tcPr>
            <w:tcW w:w="1694" w:type="dxa"/>
            <w:shd w:val="clear" w:color="auto" w:fill="auto"/>
            <w:vAlign w:val="center"/>
          </w:tcPr>
          <w:p w14:paraId="35656642">
            <w:pPr>
              <w:pStyle w:val="26"/>
              <w:rPr>
                <w:rFonts w:hint="default" w:ascii="Times New Roman" w:hAnsi="Times New Roman" w:cs="Times New Roman"/>
                <w:color w:val="auto"/>
              </w:rPr>
            </w:pPr>
            <w:r>
              <w:rPr>
                <w:rFonts w:hint="default" w:ascii="Times New Roman" w:hAnsi="Times New Roman" w:cs="Times New Roman"/>
                <w:color w:val="auto"/>
              </w:rPr>
              <w:t>2024年6月</w:t>
            </w:r>
          </w:p>
        </w:tc>
      </w:tr>
      <w:tr w14:paraId="75AA3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3456CEE2">
            <w:pPr>
              <w:pStyle w:val="26"/>
              <w:rPr>
                <w:rFonts w:hint="default" w:ascii="Times New Roman" w:hAnsi="Times New Roman" w:cs="Times New Roman"/>
                <w:color w:val="auto"/>
              </w:rPr>
            </w:pPr>
            <w:r>
              <w:rPr>
                <w:rFonts w:hint="default" w:ascii="Times New Roman" w:hAnsi="Times New Roman" w:cs="Times New Roman"/>
                <w:color w:val="auto"/>
              </w:rPr>
              <w:t>20</w:t>
            </w:r>
          </w:p>
        </w:tc>
        <w:tc>
          <w:tcPr>
            <w:tcW w:w="3333" w:type="dxa"/>
            <w:shd w:val="clear" w:color="auto" w:fill="auto"/>
            <w:vAlign w:val="center"/>
          </w:tcPr>
          <w:p w14:paraId="014B955D">
            <w:pPr>
              <w:pStyle w:val="26"/>
              <w:rPr>
                <w:rFonts w:hint="default" w:ascii="Times New Roman" w:hAnsi="Times New Roman" w:cs="Times New Roman"/>
                <w:color w:val="auto"/>
              </w:rPr>
            </w:pPr>
            <w:r>
              <w:rPr>
                <w:rFonts w:hint="default" w:ascii="Times New Roman" w:hAnsi="Times New Roman" w:cs="Times New Roman"/>
                <w:color w:val="auto"/>
              </w:rPr>
              <w:t>浙江省-金华市-义乌市</w:t>
            </w:r>
          </w:p>
        </w:tc>
        <w:tc>
          <w:tcPr>
            <w:tcW w:w="1990" w:type="dxa"/>
            <w:shd w:val="clear" w:color="auto" w:fill="auto"/>
            <w:vAlign w:val="center"/>
          </w:tcPr>
          <w:p w14:paraId="4BADBB6B">
            <w:pPr>
              <w:pStyle w:val="26"/>
              <w:rPr>
                <w:rFonts w:hint="default" w:ascii="Times New Roman" w:hAnsi="Times New Roman" w:cs="Times New Roman"/>
                <w:color w:val="auto"/>
              </w:rPr>
            </w:pPr>
            <w:r>
              <w:rPr>
                <w:rFonts w:hint="default" w:ascii="Times New Roman" w:hAnsi="Times New Roman" w:cs="Times New Roman"/>
                <w:color w:val="auto"/>
              </w:rPr>
              <w:t>18</w:t>
            </w:r>
          </w:p>
        </w:tc>
        <w:tc>
          <w:tcPr>
            <w:tcW w:w="2032" w:type="dxa"/>
            <w:shd w:val="clear" w:color="auto" w:fill="auto"/>
            <w:vAlign w:val="center"/>
          </w:tcPr>
          <w:p w14:paraId="62FBDF46">
            <w:pPr>
              <w:pStyle w:val="26"/>
              <w:rPr>
                <w:rFonts w:hint="default" w:ascii="Times New Roman" w:hAnsi="Times New Roman" w:cs="Times New Roman"/>
                <w:color w:val="auto"/>
              </w:rPr>
            </w:pPr>
            <w:r>
              <w:rPr>
                <w:rFonts w:hint="default" w:ascii="Times New Roman" w:hAnsi="Times New Roman" w:cs="Times New Roman"/>
                <w:color w:val="auto"/>
              </w:rPr>
              <w:t>30.21</w:t>
            </w:r>
          </w:p>
        </w:tc>
        <w:tc>
          <w:tcPr>
            <w:tcW w:w="1694" w:type="dxa"/>
            <w:shd w:val="clear" w:color="auto" w:fill="auto"/>
            <w:vAlign w:val="center"/>
          </w:tcPr>
          <w:p w14:paraId="73B158D8">
            <w:pPr>
              <w:pStyle w:val="26"/>
              <w:rPr>
                <w:rFonts w:hint="eastAsia" w:ascii="Times New Roman" w:hAnsi="Times New Roman" w:eastAsia="方正仿宋_GBK" w:cs="Times New Roman"/>
                <w:color w:val="auto"/>
                <w:lang w:eastAsia="zh-CN"/>
              </w:rPr>
            </w:pPr>
            <w:r>
              <w:rPr>
                <w:rFonts w:hint="default" w:ascii="Times New Roman" w:hAnsi="Times New Roman" w:cs="Times New Roman"/>
                <w:color w:val="auto"/>
              </w:rPr>
              <w:t>2024年11月</w:t>
            </w:r>
          </w:p>
        </w:tc>
      </w:tr>
      <w:tr w14:paraId="7EB52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1EFA8234">
            <w:pPr>
              <w:pStyle w:val="26"/>
              <w:rPr>
                <w:rFonts w:hint="default" w:ascii="Times New Roman" w:hAnsi="Times New Roman" w:cs="Times New Roman"/>
                <w:color w:val="auto"/>
              </w:rPr>
            </w:pPr>
            <w:r>
              <w:rPr>
                <w:rFonts w:hint="default" w:ascii="Times New Roman" w:hAnsi="Times New Roman" w:cs="Times New Roman"/>
                <w:color w:val="auto"/>
              </w:rPr>
              <w:t>21</w:t>
            </w:r>
          </w:p>
        </w:tc>
        <w:tc>
          <w:tcPr>
            <w:tcW w:w="3333" w:type="dxa"/>
            <w:shd w:val="clear" w:color="auto" w:fill="auto"/>
            <w:vAlign w:val="center"/>
          </w:tcPr>
          <w:p w14:paraId="0B61D30B">
            <w:pPr>
              <w:pStyle w:val="26"/>
              <w:rPr>
                <w:rFonts w:hint="default" w:ascii="Times New Roman" w:hAnsi="Times New Roman" w:cs="Times New Roman"/>
                <w:color w:val="auto"/>
              </w:rPr>
            </w:pPr>
            <w:r>
              <w:rPr>
                <w:rFonts w:hint="default" w:ascii="Times New Roman" w:hAnsi="Times New Roman" w:cs="Times New Roman"/>
                <w:color w:val="auto"/>
              </w:rPr>
              <w:t>浙江省-杭州市-上城区</w:t>
            </w:r>
          </w:p>
        </w:tc>
        <w:tc>
          <w:tcPr>
            <w:tcW w:w="1990" w:type="dxa"/>
            <w:shd w:val="clear" w:color="auto" w:fill="auto"/>
            <w:vAlign w:val="center"/>
          </w:tcPr>
          <w:p w14:paraId="42EA11C8">
            <w:pPr>
              <w:pStyle w:val="26"/>
              <w:rPr>
                <w:rFonts w:hint="default" w:ascii="Times New Roman" w:hAnsi="Times New Roman" w:cs="Times New Roman"/>
                <w:color w:val="auto"/>
              </w:rPr>
            </w:pPr>
            <w:r>
              <w:rPr>
                <w:rFonts w:hint="default" w:ascii="Times New Roman" w:hAnsi="Times New Roman" w:cs="Times New Roman"/>
                <w:color w:val="auto"/>
              </w:rPr>
              <w:t>14</w:t>
            </w:r>
          </w:p>
        </w:tc>
        <w:tc>
          <w:tcPr>
            <w:tcW w:w="2032" w:type="dxa"/>
            <w:shd w:val="clear" w:color="auto" w:fill="auto"/>
            <w:vAlign w:val="center"/>
          </w:tcPr>
          <w:p w14:paraId="28B8F5C2">
            <w:pPr>
              <w:pStyle w:val="26"/>
              <w:rPr>
                <w:rFonts w:hint="default" w:ascii="Times New Roman" w:hAnsi="Times New Roman" w:cs="Times New Roman"/>
                <w:color w:val="auto"/>
              </w:rPr>
            </w:pPr>
            <w:r>
              <w:rPr>
                <w:rFonts w:hint="default" w:ascii="Times New Roman" w:hAnsi="Times New Roman" w:cs="Times New Roman"/>
                <w:color w:val="auto"/>
              </w:rPr>
              <w:t>11.34</w:t>
            </w:r>
          </w:p>
        </w:tc>
        <w:tc>
          <w:tcPr>
            <w:tcW w:w="1694" w:type="dxa"/>
            <w:shd w:val="clear" w:color="auto" w:fill="auto"/>
            <w:vAlign w:val="center"/>
          </w:tcPr>
          <w:p w14:paraId="5AB8CD9F">
            <w:pPr>
              <w:pStyle w:val="26"/>
              <w:rPr>
                <w:rFonts w:hint="default" w:ascii="Times New Roman" w:hAnsi="Times New Roman" w:cs="Times New Roman"/>
                <w:color w:val="auto"/>
              </w:rPr>
            </w:pPr>
            <w:r>
              <w:rPr>
                <w:rFonts w:hint="default" w:ascii="Times New Roman" w:hAnsi="Times New Roman" w:cs="Times New Roman"/>
                <w:color w:val="auto"/>
              </w:rPr>
              <w:t>2024年11月</w:t>
            </w:r>
          </w:p>
        </w:tc>
      </w:tr>
      <w:tr w14:paraId="240A2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0651B6BA">
            <w:pPr>
              <w:pStyle w:val="26"/>
              <w:rPr>
                <w:rFonts w:hint="default" w:ascii="Times New Roman" w:hAnsi="Times New Roman" w:cs="Times New Roman"/>
                <w:color w:val="auto"/>
              </w:rPr>
            </w:pPr>
            <w:r>
              <w:rPr>
                <w:rFonts w:hint="default" w:ascii="Times New Roman" w:hAnsi="Times New Roman" w:cs="Times New Roman"/>
                <w:color w:val="auto"/>
              </w:rPr>
              <w:t>22</w:t>
            </w:r>
          </w:p>
        </w:tc>
        <w:tc>
          <w:tcPr>
            <w:tcW w:w="3333" w:type="dxa"/>
            <w:shd w:val="clear" w:color="auto" w:fill="auto"/>
            <w:vAlign w:val="center"/>
          </w:tcPr>
          <w:p w14:paraId="0FAB877C">
            <w:pPr>
              <w:pStyle w:val="26"/>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内蒙古-鄂尔多斯市康巴什区</w:t>
            </w:r>
          </w:p>
        </w:tc>
        <w:tc>
          <w:tcPr>
            <w:tcW w:w="1990" w:type="dxa"/>
            <w:shd w:val="clear" w:color="auto" w:fill="auto"/>
            <w:vAlign w:val="center"/>
          </w:tcPr>
          <w:p w14:paraId="42796B5A">
            <w:pPr>
              <w:pStyle w:val="26"/>
              <w:rPr>
                <w:rFonts w:hint="default" w:ascii="Times New Roman" w:hAnsi="Times New Roman" w:cs="Times New Roman"/>
                <w:color w:val="auto"/>
              </w:rPr>
            </w:pPr>
            <w:r>
              <w:rPr>
                <w:rFonts w:hint="default" w:ascii="Times New Roman" w:hAnsi="Times New Roman" w:cs="Times New Roman"/>
                <w:color w:val="auto"/>
              </w:rPr>
              <w:t>6</w:t>
            </w:r>
          </w:p>
        </w:tc>
        <w:tc>
          <w:tcPr>
            <w:tcW w:w="2032" w:type="dxa"/>
            <w:shd w:val="clear" w:color="auto" w:fill="auto"/>
            <w:vAlign w:val="center"/>
          </w:tcPr>
          <w:p w14:paraId="4718243A">
            <w:pPr>
              <w:pStyle w:val="26"/>
              <w:rPr>
                <w:rFonts w:hint="default" w:ascii="Times New Roman" w:hAnsi="Times New Roman" w:cs="Times New Roman"/>
                <w:color w:val="auto"/>
              </w:rPr>
            </w:pPr>
            <w:r>
              <w:rPr>
                <w:rFonts w:hint="default" w:ascii="Times New Roman" w:hAnsi="Times New Roman" w:cs="Times New Roman"/>
                <w:color w:val="auto"/>
              </w:rPr>
              <w:t>13.24</w:t>
            </w:r>
          </w:p>
        </w:tc>
        <w:tc>
          <w:tcPr>
            <w:tcW w:w="1694" w:type="dxa"/>
            <w:shd w:val="clear" w:color="auto" w:fill="auto"/>
            <w:vAlign w:val="center"/>
          </w:tcPr>
          <w:p w14:paraId="04329852">
            <w:pPr>
              <w:pStyle w:val="26"/>
              <w:rPr>
                <w:rFonts w:hint="default" w:ascii="Times New Roman" w:hAnsi="Times New Roman" w:cs="Times New Roman"/>
                <w:color w:val="auto"/>
              </w:rPr>
            </w:pPr>
            <w:r>
              <w:rPr>
                <w:rFonts w:hint="default" w:ascii="Times New Roman" w:hAnsi="Times New Roman" w:cs="Times New Roman"/>
                <w:color w:val="auto"/>
              </w:rPr>
              <w:t>2024年4月</w:t>
            </w:r>
          </w:p>
        </w:tc>
      </w:tr>
      <w:tr w14:paraId="493DA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06" w:type="dxa"/>
            <w:shd w:val="clear" w:color="auto" w:fill="auto"/>
            <w:vAlign w:val="center"/>
          </w:tcPr>
          <w:p w14:paraId="3587F070">
            <w:pPr>
              <w:pStyle w:val="26"/>
              <w:rPr>
                <w:rFonts w:hint="default" w:ascii="Times New Roman" w:hAnsi="Times New Roman" w:cs="Times New Roman"/>
                <w:color w:val="auto"/>
              </w:rPr>
            </w:pPr>
            <w:r>
              <w:rPr>
                <w:rFonts w:hint="default" w:ascii="Times New Roman" w:hAnsi="Times New Roman" w:cs="Times New Roman"/>
                <w:color w:val="auto"/>
              </w:rPr>
              <w:t>23</w:t>
            </w:r>
          </w:p>
        </w:tc>
        <w:tc>
          <w:tcPr>
            <w:tcW w:w="3333" w:type="dxa"/>
            <w:shd w:val="clear" w:color="auto" w:fill="auto"/>
            <w:vAlign w:val="center"/>
          </w:tcPr>
          <w:p w14:paraId="3B1FCC4F">
            <w:pPr>
              <w:pStyle w:val="26"/>
              <w:rPr>
                <w:rFonts w:hint="default" w:ascii="Times New Roman" w:hAnsi="Times New Roman" w:cs="Times New Roman"/>
                <w:color w:val="auto"/>
              </w:rPr>
            </w:pPr>
            <w:r>
              <w:rPr>
                <w:rFonts w:hint="default" w:ascii="Times New Roman" w:hAnsi="Times New Roman" w:cs="Times New Roman"/>
                <w:color w:val="auto"/>
              </w:rPr>
              <w:t>江苏省-扬州市区</w:t>
            </w:r>
          </w:p>
        </w:tc>
        <w:tc>
          <w:tcPr>
            <w:tcW w:w="1990" w:type="dxa"/>
            <w:shd w:val="clear" w:color="auto" w:fill="auto"/>
            <w:vAlign w:val="center"/>
          </w:tcPr>
          <w:p w14:paraId="4DEDC173">
            <w:pPr>
              <w:pStyle w:val="26"/>
              <w:rPr>
                <w:rFonts w:hint="default" w:ascii="Times New Roman" w:hAnsi="Times New Roman" w:cs="Times New Roman"/>
                <w:color w:val="auto"/>
              </w:rPr>
            </w:pPr>
            <w:r>
              <w:rPr>
                <w:rFonts w:hint="default" w:ascii="Times New Roman" w:hAnsi="Times New Roman" w:cs="Times New Roman"/>
                <w:color w:val="auto"/>
              </w:rPr>
              <w:t>376</w:t>
            </w:r>
          </w:p>
        </w:tc>
        <w:tc>
          <w:tcPr>
            <w:tcW w:w="2032" w:type="dxa"/>
            <w:shd w:val="clear" w:color="auto" w:fill="auto"/>
            <w:vAlign w:val="center"/>
          </w:tcPr>
          <w:p w14:paraId="35232EF2">
            <w:pPr>
              <w:pStyle w:val="26"/>
              <w:rPr>
                <w:rFonts w:hint="default" w:ascii="Times New Roman" w:hAnsi="Times New Roman" w:cs="Times New Roman"/>
                <w:color w:val="auto"/>
              </w:rPr>
            </w:pPr>
            <w:r>
              <w:rPr>
                <w:rFonts w:hint="default" w:ascii="Times New Roman" w:hAnsi="Times New Roman" w:cs="Times New Roman"/>
                <w:color w:val="auto"/>
              </w:rPr>
              <w:t>-</w:t>
            </w:r>
          </w:p>
        </w:tc>
        <w:tc>
          <w:tcPr>
            <w:tcW w:w="1694" w:type="dxa"/>
            <w:shd w:val="clear" w:color="auto" w:fill="auto"/>
            <w:vAlign w:val="center"/>
          </w:tcPr>
          <w:p w14:paraId="21CCCF69">
            <w:pPr>
              <w:pStyle w:val="26"/>
              <w:rPr>
                <w:rFonts w:hint="default" w:ascii="Times New Roman" w:hAnsi="Times New Roman" w:cs="Times New Roman"/>
                <w:color w:val="auto"/>
              </w:rPr>
            </w:pPr>
            <w:r>
              <w:rPr>
                <w:rFonts w:hint="default" w:ascii="Times New Roman" w:hAnsi="Times New Roman" w:cs="Times New Roman"/>
                <w:color w:val="auto"/>
              </w:rPr>
              <w:t>2024年7月</w:t>
            </w:r>
          </w:p>
        </w:tc>
      </w:tr>
    </w:tbl>
    <w:p w14:paraId="152EF9C7">
      <w:pPr>
        <w:spacing w:line="240" w:lineRule="auto"/>
        <w:ind w:firstLine="0" w:firstLineChars="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注：“-”表示相关文件中未提供面积信息。</w:t>
      </w:r>
      <w:bookmarkStart w:id="38" w:name="_Toc30093"/>
    </w:p>
    <w:p w14:paraId="17D026A8">
      <w:pPr>
        <w:spacing w:line="240" w:lineRule="auto"/>
        <w:ind w:firstLine="643" w:firstLineChars="200"/>
        <w:rPr>
          <w:rFonts w:hint="default" w:ascii="Times New Roman" w:hAnsi="Times New Roman" w:eastAsia="方正仿宋_GBK" w:cs="Times New Roman"/>
          <w:b/>
          <w:bCs/>
          <w:color w:val="auto"/>
          <w:lang w:val="en-US" w:eastAsia="zh-CN"/>
        </w:rPr>
      </w:pPr>
      <w:r>
        <w:rPr>
          <w:rFonts w:hint="eastAsia" w:ascii="Times New Roman" w:hAnsi="Times New Roman" w:eastAsia="方正仿宋_GBK" w:cs="Times New Roman"/>
          <w:b/>
          <w:bCs/>
          <w:color w:val="auto"/>
          <w:lang w:val="en-US" w:eastAsia="zh-CN"/>
        </w:rPr>
        <w:t>5</w:t>
      </w:r>
      <w:r>
        <w:rPr>
          <w:rFonts w:hint="default" w:ascii="Times New Roman" w:hAnsi="Times New Roman" w:eastAsia="方正仿宋_GBK" w:cs="Times New Roman"/>
          <w:b/>
          <w:bCs/>
          <w:color w:val="auto"/>
          <w:lang w:val="en-US" w:eastAsia="zh-CN"/>
        </w:rPr>
        <w:t>.4.1各类划定方法归纳</w:t>
      </w:r>
      <w:bookmarkEnd w:id="38"/>
    </w:p>
    <w:p w14:paraId="7F52D9A1">
      <w:pPr>
        <w:spacing w:line="240" w:lineRule="auto"/>
        <w:ind w:firstLine="640" w:firstLineChars="200"/>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lang w:val="en-US" w:eastAsia="zh-CN"/>
        </w:rPr>
        <w:t>通过搜集国内已经发布的相关噪声敏感建筑物集中区域划定案例，总结各地划分方法</w:t>
      </w:r>
      <w:r>
        <w:rPr>
          <w:rFonts w:hint="eastAsia" w:cs="Times New Roman"/>
          <w:b w:val="0"/>
          <w:bCs w:val="0"/>
          <w:color w:val="auto"/>
          <w:lang w:val="en-US" w:eastAsia="zh-CN"/>
        </w:rPr>
        <w:t>，</w:t>
      </w:r>
      <w:r>
        <w:rPr>
          <w:rFonts w:hint="default" w:ascii="Times New Roman" w:hAnsi="Times New Roman" w:eastAsia="方正仿宋_GBK" w:cs="Times New Roman"/>
          <w:b w:val="0"/>
          <w:bCs w:val="0"/>
          <w:color w:val="auto"/>
          <w:lang w:val="en-US" w:eastAsia="zh-CN"/>
        </w:rPr>
        <w:t>可归纳为以下3类：</w:t>
      </w:r>
    </w:p>
    <w:p w14:paraId="6BB6519C">
      <w:pPr>
        <w:spacing w:line="240" w:lineRule="auto"/>
        <w:ind w:firstLine="643" w:firstLineChars="200"/>
        <w:rPr>
          <w:rFonts w:hint="default" w:ascii="Times New Roman" w:hAnsi="Times New Roman" w:eastAsia="方正仿宋_GBK" w:cs="Times New Roman"/>
          <w:b/>
          <w:bCs/>
          <w:color w:val="auto"/>
          <w:lang w:val="en-US" w:eastAsia="zh-CN"/>
        </w:rPr>
      </w:pPr>
      <w:r>
        <w:rPr>
          <w:rFonts w:hint="default" w:ascii="Times New Roman" w:hAnsi="Times New Roman" w:eastAsia="方正仿宋_GBK" w:cs="Times New Roman"/>
          <w:b/>
          <w:bCs/>
          <w:color w:val="auto"/>
          <w:lang w:val="en-US" w:eastAsia="zh-CN"/>
        </w:rPr>
        <w:fldChar w:fldCharType="begin"/>
      </w:r>
      <w:r>
        <w:rPr>
          <w:rFonts w:hint="default" w:ascii="Times New Roman" w:hAnsi="Times New Roman" w:eastAsia="方正仿宋_GBK" w:cs="Times New Roman"/>
          <w:b/>
          <w:bCs/>
          <w:color w:val="auto"/>
          <w:lang w:val="en-US" w:eastAsia="zh-CN"/>
        </w:rPr>
        <w:instrText xml:space="preserve"> = 1 \* GB3 </w:instrText>
      </w:r>
      <w:r>
        <w:rPr>
          <w:rFonts w:hint="default" w:ascii="Times New Roman" w:hAnsi="Times New Roman" w:eastAsia="方正仿宋_GBK" w:cs="Times New Roman"/>
          <w:b/>
          <w:bCs/>
          <w:color w:val="auto"/>
          <w:lang w:val="en-US" w:eastAsia="zh-CN"/>
        </w:rPr>
        <w:fldChar w:fldCharType="separate"/>
      </w:r>
      <w:r>
        <w:rPr>
          <w:rFonts w:hint="default" w:ascii="Times New Roman" w:hAnsi="Times New Roman" w:eastAsia="方正仿宋_GBK" w:cs="Times New Roman"/>
          <w:b/>
          <w:bCs/>
          <w:color w:val="auto"/>
          <w:lang w:val="en-US" w:eastAsia="zh-CN"/>
        </w:rPr>
        <w:t>①</w:t>
      </w:r>
      <w:r>
        <w:rPr>
          <w:rFonts w:hint="default" w:ascii="Times New Roman" w:hAnsi="Times New Roman" w:eastAsia="方正仿宋_GBK" w:cs="Times New Roman"/>
          <w:b/>
          <w:bCs/>
          <w:color w:val="auto"/>
          <w:lang w:val="en-US" w:eastAsia="zh-CN"/>
        </w:rPr>
        <w:fldChar w:fldCharType="end"/>
      </w:r>
      <w:r>
        <w:rPr>
          <w:rFonts w:hint="default" w:ascii="Times New Roman" w:hAnsi="Times New Roman" w:eastAsia="方正仿宋_GBK" w:cs="Times New Roman"/>
          <w:b/>
          <w:bCs/>
          <w:color w:val="auto"/>
          <w:lang w:val="en-US" w:eastAsia="zh-CN"/>
        </w:rPr>
        <w:t>直接依据声功能区划定</w:t>
      </w:r>
    </w:p>
    <w:p w14:paraId="1153F398">
      <w:pPr>
        <w:spacing w:line="240" w:lineRule="auto"/>
        <w:ind w:firstLine="640" w:firstLineChars="200"/>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lang w:val="en-US" w:eastAsia="zh-CN"/>
        </w:rPr>
        <w:t>将1、2类声功能区设为噪声敏感建筑物集中区域，或1、2、3类声功能区内剔除商业、工业、公用设施、湖库、公园、绿地等以外的其余区域划定为噪声敏感建筑物集中区域。</w:t>
      </w:r>
    </w:p>
    <w:p w14:paraId="5CB4D4E0">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lang w:val="en-US" w:eastAsia="zh-CN"/>
        </w:rPr>
        <w:t>根据此原则划定噪声敏感建筑物集中区域的地区有江西省-南昌市、福建省-厦门市、山东省-潍坊市-昌乐县、重庆市等。</w:t>
      </w:r>
    </w:p>
    <w:p w14:paraId="20577A3B">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lang w:val="en-US" w:eastAsia="zh-CN"/>
        </w:rPr>
        <w:t>以厦门市为例，原则上声功能区中2类区域（除去风景名胜区、林地、水域、山体等无建筑区域）均纳入噪声敏感建筑物集中区域，噪声敏感建筑物用地占地率大于70%；</w:t>
      </w:r>
    </w:p>
    <w:p w14:paraId="03660121">
      <w:pPr>
        <w:pStyle w:val="5"/>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eastAsia="方正仿宋_GBK" w:cs="Times New Roman"/>
          <w:b w:val="0"/>
          <w:bCs w:val="0"/>
          <w:color w:val="auto"/>
          <w:lang w:val="en-US" w:eastAsia="zh-CN"/>
        </w:rPr>
      </w:pPr>
      <w:r>
        <w:rPr>
          <w:rFonts w:hint="default" w:ascii="Times New Roman" w:hAnsi="Times New Roman" w:eastAsia="方正仿宋_GBK" w:cs="Times New Roman"/>
          <w:b w:val="0"/>
          <w:bCs w:val="0"/>
          <w:color w:val="auto"/>
          <w:lang w:val="en-US" w:eastAsia="zh-CN"/>
        </w:rPr>
        <w:t>单块的噪声敏感</w:t>
      </w:r>
      <w:bookmarkStart w:id="46" w:name="_GoBack"/>
      <w:bookmarkEnd w:id="46"/>
      <w:r>
        <w:rPr>
          <w:rFonts w:hint="default" w:ascii="Times New Roman" w:hAnsi="Times New Roman" w:eastAsia="方正仿宋_GBK" w:cs="Times New Roman"/>
          <w:b w:val="0"/>
          <w:bCs w:val="0"/>
          <w:color w:val="auto"/>
          <w:lang w:val="en-US" w:eastAsia="zh-CN"/>
        </w:rPr>
        <w:t>建筑物集中区域面积原则上不小于0.5</w:t>
      </w:r>
      <w:r>
        <w:rPr>
          <w:rFonts w:hint="eastAsia" w:ascii="Times New Roman" w:hAnsi="Times New Roman" w:eastAsia="方正仿宋_GBK" w:cs="Times New Roman"/>
          <w:b w:val="0"/>
          <w:bCs w:val="0"/>
          <w:color w:val="auto"/>
          <w:lang w:val="en-US" w:eastAsia="zh-CN"/>
        </w:rPr>
        <w:t>km</w:t>
      </w:r>
      <w:r>
        <w:rPr>
          <w:rFonts w:hint="eastAsia" w:ascii="Times New Roman" w:hAnsi="Times New Roman" w:eastAsia="方正仿宋_GBK" w:cs="Times New Roman"/>
          <w:b w:val="0"/>
          <w:bCs w:val="0"/>
          <w:color w:val="auto"/>
          <w:vertAlign w:val="superscript"/>
          <w:lang w:val="en-US" w:eastAsia="zh-CN"/>
        </w:rPr>
        <w:t>2</w:t>
      </w:r>
      <w:r>
        <w:rPr>
          <w:rFonts w:hint="default" w:ascii="Times New Roman" w:hAnsi="Times New Roman" w:eastAsia="方正仿宋_GBK" w:cs="Times New Roman"/>
          <w:b w:val="0"/>
          <w:bCs w:val="0"/>
          <w:color w:val="auto"/>
          <w:lang w:val="en-US" w:eastAsia="zh-CN"/>
        </w:rPr>
        <w:t>。</w:t>
      </w:r>
    </w:p>
    <w:p w14:paraId="2E30E6D8">
      <w:pPr>
        <w:pageBreakBefore w:val="0"/>
        <w:kinsoku/>
        <w:wordWrap/>
        <w:overflowPunct/>
        <w:topLinePunct w:val="0"/>
        <w:autoSpaceDE/>
        <w:autoSpaceDN/>
        <w:bidi w:val="0"/>
        <w:adjustRightInd/>
        <w:snapToGrid/>
        <w:spacing w:line="560" w:lineRule="exact"/>
        <w:ind w:firstLine="643"/>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挑选特定区域划定</w:t>
      </w:r>
    </w:p>
    <w:p w14:paraId="0D57F9E0">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通过设置相应规则划定特定区域，或直接给定划定区域。</w:t>
      </w:r>
    </w:p>
    <w:p w14:paraId="0319B2F6">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根据此原则划定噪声敏感建筑物集中区域的地区有山东省-烟台市、江苏省-仪征市、吉林省-长春市、辽宁省-葫芦岛市等。</w:t>
      </w:r>
    </w:p>
    <w:p w14:paraId="0BF33DC5">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以山东烟台为例，同时符合下列三项条件的区域划为噪声敏感建筑物集中区域：</w:t>
      </w:r>
    </w:p>
    <w:p w14:paraId="0D955D1A">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（1）建成区内占地面积不小于0.5 km</w:t>
      </w:r>
      <w:r>
        <w:rPr>
          <w:rFonts w:hint="default" w:ascii="Times New Roman" w:hAnsi="Times New Roman" w:cs="Times New Roman"/>
          <w:color w:val="auto"/>
          <w:vertAlign w:val="superscript"/>
        </w:rPr>
        <w:t>2</w:t>
      </w:r>
      <w:r>
        <w:rPr>
          <w:rFonts w:hint="default" w:ascii="Times New Roman" w:hAnsi="Times New Roman" w:cs="Times New Roman"/>
          <w:color w:val="auto"/>
        </w:rPr>
        <w:t>，边界清晰，Ⅰ类用地占地率大于80%（含80%）的区域。</w:t>
      </w:r>
    </w:p>
    <w:p w14:paraId="36217133">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（2）区域内噪声敏感建筑物功能需包括居住、科学研究、医疗卫生、文化教育、机关团体办公、社会福利中至少四类，建筑物投入使用年限超过5年的占地率大于90%（含90%）。</w:t>
      </w:r>
    </w:p>
    <w:p w14:paraId="2736EB53">
      <w:pPr>
        <w:pageBreakBefore w:val="0"/>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cs="Times New Roman"/>
          <w:color w:val="auto"/>
        </w:rPr>
      </w:pPr>
      <w:r>
        <w:rPr>
          <w:rFonts w:hint="default" w:ascii="Times New Roman" w:hAnsi="Times New Roman" w:cs="Times New Roman"/>
          <w:color w:val="auto"/>
        </w:rPr>
        <w:t>（3）区域内人口密度大于4万人/平方公里。</w:t>
      </w:r>
    </w:p>
    <w:p w14:paraId="0C4F568D">
      <w:pPr>
        <w:pageBreakBefore w:val="0"/>
        <w:kinsoku/>
        <w:wordWrap/>
        <w:overflowPunct/>
        <w:topLinePunct w:val="0"/>
        <w:autoSpaceDE/>
        <w:autoSpaceDN/>
        <w:bidi w:val="0"/>
        <w:adjustRightInd/>
        <w:snapToGrid/>
        <w:spacing w:line="560" w:lineRule="exact"/>
        <w:ind w:firstLine="643"/>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3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③</w:t>
      </w:r>
      <w:r>
        <w:rPr>
          <w:rFonts w:hint="default" w:ascii="Times New Roman" w:hAnsi="Times New Roman" w:cs="Times New Roman"/>
          <w:b/>
          <w:bCs/>
          <w:color w:val="auto"/>
        </w:rPr>
        <w:fldChar w:fldCharType="end"/>
      </w:r>
      <w:r>
        <w:rPr>
          <w:rFonts w:hint="default" w:ascii="Times New Roman" w:hAnsi="Times New Roman" w:cs="Times New Roman"/>
          <w:b/>
          <w:bCs/>
          <w:color w:val="auto"/>
        </w:rPr>
        <w:t>依据用地现状类型、规划、建筑物布局、人口密度等要素划定</w:t>
      </w:r>
    </w:p>
    <w:p w14:paraId="6D29BD54">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综合国土空间规划、控制性详细规划，以及人口数量、建筑物属性、噪声污染状况、噪声投诉情况等要素进行划定。</w:t>
      </w:r>
    </w:p>
    <w:p w14:paraId="7551271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根据此原则划定噪声敏感建筑物集中区域的地区有山东省-东营市、河南省、北京市-朝阳区、浙江省-义乌市等。</w:t>
      </w:r>
    </w:p>
    <w:p w14:paraId="45549237">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以山东省东营市为例，优先在1类、2类声环境功能区内划定噪声敏感建筑物集中区域。</w:t>
      </w:r>
    </w:p>
    <w:p w14:paraId="521C5419">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根据《中华人民共和国噪声污染防治法》以及声环境功能区划分、城市用地分类标准、山东省国土空间用地标准等政策法规规定，结合土地利用现状、人口密度等因素，因地制宜，按照边界清晰的原则划分。共划分了35个集中区域，全部位于1类声环境功能区。</w:t>
      </w:r>
    </w:p>
    <w:p w14:paraId="4A818DE1">
      <w:pPr>
        <w:pStyle w:val="6"/>
        <w:pageBreakBefore w:val="0"/>
        <w:kinsoku/>
        <w:wordWrap/>
        <w:overflowPunct/>
        <w:topLinePunct w:val="0"/>
        <w:autoSpaceDE/>
        <w:autoSpaceDN/>
        <w:bidi w:val="0"/>
        <w:adjustRightInd/>
        <w:snapToGrid/>
        <w:spacing w:before="0" w:after="0" w:line="560" w:lineRule="exact"/>
        <w:ind w:firstLine="643"/>
        <w:textAlignment w:val="auto"/>
        <w:rPr>
          <w:rFonts w:hint="default" w:ascii="Times New Roman" w:hAnsi="Times New Roman" w:cs="Times New Roman"/>
          <w:color w:val="auto"/>
        </w:rPr>
      </w:pPr>
      <w:bookmarkStart w:id="39" w:name="_Toc18891"/>
      <w:r>
        <w:rPr>
          <w:rFonts w:hint="eastAsia" w:cs="Times New Roman"/>
          <w:color w:val="auto"/>
          <w:lang w:val="en-US" w:eastAsia="zh-CN"/>
        </w:rPr>
        <w:t>5</w:t>
      </w:r>
      <w:r>
        <w:rPr>
          <w:rFonts w:hint="default" w:ascii="Times New Roman" w:hAnsi="Times New Roman" w:cs="Times New Roman"/>
          <w:color w:val="auto"/>
        </w:rPr>
        <w:t>.4.2各类划定方法特点汇总</w:t>
      </w:r>
      <w:bookmarkEnd w:id="39"/>
    </w:p>
    <w:p w14:paraId="08631BDD">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不同噪声敏感建筑物集中区域划分方案各自独有的特点如下：</w:t>
      </w:r>
    </w:p>
    <w:p w14:paraId="245E42CA">
      <w:pPr>
        <w:spacing w:line="560" w:lineRule="exact"/>
        <w:ind w:firstLine="0" w:firstLineChars="0"/>
        <w:jc w:val="center"/>
        <w:rPr>
          <w:rFonts w:hint="default" w:eastAsia="黑体" w:cs="Times New Roman"/>
          <w:color w:val="auto"/>
          <w:sz w:val="21"/>
          <w:szCs w:val="21"/>
          <w:lang w:val="en-US" w:eastAsia="zh-CN"/>
        </w:rPr>
      </w:pPr>
      <w:r>
        <w:rPr>
          <w:rFonts w:hint="default" w:eastAsia="黑体" w:cs="Times New Roman"/>
          <w:color w:val="auto"/>
          <w:sz w:val="21"/>
          <w:szCs w:val="21"/>
          <w:lang w:val="en-US" w:eastAsia="zh-CN"/>
        </w:rPr>
        <w:t>表</w:t>
      </w:r>
      <w:r>
        <w:rPr>
          <w:rFonts w:hint="eastAsia" w:eastAsia="黑体" w:cs="Times New Roman"/>
          <w:color w:val="auto"/>
          <w:sz w:val="21"/>
          <w:szCs w:val="21"/>
          <w:lang w:val="en-US" w:eastAsia="zh-CN"/>
        </w:rPr>
        <w:t>5-2</w:t>
      </w:r>
      <w:r>
        <w:rPr>
          <w:rFonts w:hint="default" w:eastAsia="黑体" w:cs="Times New Roman"/>
          <w:color w:val="auto"/>
          <w:sz w:val="21"/>
          <w:szCs w:val="21"/>
          <w:lang w:val="en-US" w:eastAsia="zh-CN"/>
        </w:rPr>
        <w:t>不同划分方案特点汇总表</w:t>
      </w:r>
    </w:p>
    <w:tbl>
      <w:tblPr>
        <w:tblStyle w:val="9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235"/>
        <w:gridCol w:w="2235"/>
        <w:gridCol w:w="3894"/>
      </w:tblGrid>
      <w:tr w14:paraId="13BB8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08" w:type="dxa"/>
            <w:vAlign w:val="center"/>
          </w:tcPr>
          <w:p w14:paraId="4F350BA9">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b/>
                <w:bCs/>
                <w:snapToGrid w:val="0"/>
                <w:color w:val="auto"/>
                <w:kern w:val="0"/>
                <w:sz w:val="24"/>
                <w:lang w:bidi="ar"/>
              </w:rPr>
            </w:pPr>
            <w:r>
              <w:rPr>
                <w:rFonts w:hint="default" w:eastAsia="方正仿宋_GBK" w:cs="Times New Roman"/>
                <w:b/>
                <w:bCs/>
                <w:snapToGrid w:val="0"/>
                <w:color w:val="auto"/>
                <w:kern w:val="0"/>
                <w:sz w:val="24"/>
                <w:lang w:bidi="ar"/>
              </w:rPr>
              <w:t>序号</w:t>
            </w:r>
          </w:p>
        </w:tc>
        <w:tc>
          <w:tcPr>
            <w:tcW w:w="2235" w:type="dxa"/>
            <w:vAlign w:val="center"/>
          </w:tcPr>
          <w:p w14:paraId="410D28CA">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b/>
                <w:bCs/>
                <w:snapToGrid w:val="0"/>
                <w:color w:val="auto"/>
                <w:kern w:val="0"/>
                <w:sz w:val="24"/>
                <w:lang w:bidi="ar"/>
              </w:rPr>
            </w:pPr>
            <w:r>
              <w:rPr>
                <w:rFonts w:hint="default" w:eastAsia="方正仿宋_GBK" w:cs="Times New Roman"/>
                <w:b/>
                <w:bCs/>
                <w:snapToGrid w:val="0"/>
                <w:color w:val="auto"/>
                <w:kern w:val="0"/>
                <w:sz w:val="24"/>
                <w:lang w:bidi="ar"/>
              </w:rPr>
              <w:t>划分方案</w:t>
            </w:r>
          </w:p>
        </w:tc>
        <w:tc>
          <w:tcPr>
            <w:tcW w:w="2235" w:type="dxa"/>
            <w:vAlign w:val="center"/>
          </w:tcPr>
          <w:p w14:paraId="30E2916B">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b/>
                <w:bCs/>
                <w:snapToGrid w:val="0"/>
                <w:color w:val="auto"/>
                <w:kern w:val="0"/>
                <w:sz w:val="24"/>
                <w:lang w:bidi="ar"/>
              </w:rPr>
            </w:pPr>
            <w:r>
              <w:rPr>
                <w:rFonts w:hint="default" w:eastAsia="方正仿宋_GBK" w:cs="Times New Roman"/>
                <w:b/>
                <w:bCs/>
                <w:snapToGrid w:val="0"/>
                <w:color w:val="auto"/>
                <w:kern w:val="0"/>
                <w:sz w:val="24"/>
                <w:lang w:bidi="ar"/>
              </w:rPr>
              <w:t>实施城市</w:t>
            </w:r>
          </w:p>
        </w:tc>
        <w:tc>
          <w:tcPr>
            <w:tcW w:w="3894" w:type="dxa"/>
            <w:vAlign w:val="center"/>
          </w:tcPr>
          <w:p w14:paraId="7EF18D02">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b/>
                <w:bCs/>
                <w:snapToGrid w:val="0"/>
                <w:color w:val="auto"/>
                <w:kern w:val="0"/>
                <w:sz w:val="24"/>
                <w:lang w:bidi="ar"/>
              </w:rPr>
            </w:pPr>
            <w:r>
              <w:rPr>
                <w:rFonts w:hint="default" w:eastAsia="方正仿宋_GBK" w:cs="Times New Roman"/>
                <w:b/>
                <w:bCs/>
                <w:snapToGrid w:val="0"/>
                <w:color w:val="auto"/>
                <w:kern w:val="0"/>
                <w:sz w:val="24"/>
                <w:lang w:bidi="ar"/>
              </w:rPr>
              <w:t>划分特点</w:t>
            </w:r>
          </w:p>
        </w:tc>
      </w:tr>
      <w:tr w14:paraId="46129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14:paraId="1D7ADCDC">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1</w:t>
            </w:r>
          </w:p>
        </w:tc>
        <w:tc>
          <w:tcPr>
            <w:tcW w:w="2235" w:type="dxa"/>
            <w:vAlign w:val="center"/>
          </w:tcPr>
          <w:p w14:paraId="0D77B29A">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直接依据声功能区划定噪声敏感建筑物集中区域</w:t>
            </w:r>
          </w:p>
        </w:tc>
        <w:tc>
          <w:tcPr>
            <w:tcW w:w="2235" w:type="dxa"/>
            <w:vAlign w:val="center"/>
          </w:tcPr>
          <w:p w14:paraId="440B66C8">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江西省-南昌市；福建省-厦门市；山东省-潍坊市-昌乐县；重庆市等</w:t>
            </w:r>
          </w:p>
        </w:tc>
        <w:tc>
          <w:tcPr>
            <w:tcW w:w="3894" w:type="dxa"/>
            <w:vAlign w:val="center"/>
          </w:tcPr>
          <w:p w14:paraId="0472E046">
            <w:pPr>
              <w:kinsoku w:val="0"/>
              <w:autoSpaceDE w:val="0"/>
              <w:autoSpaceDN w:val="0"/>
              <w:adjustRightInd w:val="0"/>
              <w:snapToGrid w:val="0"/>
              <w:spacing w:line="240" w:lineRule="auto"/>
              <w:ind w:firstLine="0" w:firstLineChars="0"/>
              <w:jc w:val="center"/>
              <w:textAlignment w:val="baseline"/>
              <w:rPr>
                <w:rFonts w:hint="eastAsia" w:eastAsia="方正仿宋_GBK" w:cs="Times New Roman"/>
                <w:snapToGrid w:val="0"/>
                <w:color w:val="auto"/>
                <w:kern w:val="0"/>
                <w:sz w:val="24"/>
                <w:lang w:eastAsia="zh-CN" w:bidi="ar"/>
              </w:rPr>
            </w:pPr>
            <w:r>
              <w:rPr>
                <w:rFonts w:hint="default" w:eastAsia="方正仿宋_GBK" w:cs="Times New Roman"/>
                <w:snapToGrid w:val="0"/>
                <w:color w:val="auto"/>
                <w:kern w:val="0"/>
                <w:sz w:val="24"/>
                <w:lang w:bidi="ar"/>
              </w:rPr>
              <w:t>在已有工作基础上开展，直接根据声功能区划分结果确定噪声敏感建筑物集中区域，划分依据简单明确</w:t>
            </w:r>
          </w:p>
        </w:tc>
      </w:tr>
      <w:tr w14:paraId="562EE4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14:paraId="52B255EA">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2</w:t>
            </w:r>
          </w:p>
        </w:tc>
        <w:tc>
          <w:tcPr>
            <w:tcW w:w="2235" w:type="dxa"/>
            <w:shd w:val="clear" w:color="auto" w:fill="auto"/>
            <w:vAlign w:val="center"/>
          </w:tcPr>
          <w:p w14:paraId="1E96E57A">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挑选特定区域划定噪声敏感建筑物集中区域</w:t>
            </w:r>
          </w:p>
        </w:tc>
        <w:tc>
          <w:tcPr>
            <w:tcW w:w="2235" w:type="dxa"/>
            <w:shd w:val="clear" w:color="auto" w:fill="auto"/>
            <w:vAlign w:val="center"/>
          </w:tcPr>
          <w:p w14:paraId="1DEE2947">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山东-烟台市-芝罘区、莱山区、福山区；江苏省-仪征市；吉林省-长春市等</w:t>
            </w:r>
          </w:p>
        </w:tc>
        <w:tc>
          <w:tcPr>
            <w:tcW w:w="3894" w:type="dxa"/>
            <w:shd w:val="clear" w:color="auto" w:fill="auto"/>
            <w:vAlign w:val="center"/>
          </w:tcPr>
          <w:p w14:paraId="54B245DC">
            <w:pPr>
              <w:kinsoku w:val="0"/>
              <w:autoSpaceDE w:val="0"/>
              <w:autoSpaceDN w:val="0"/>
              <w:adjustRightInd w:val="0"/>
              <w:snapToGrid w:val="0"/>
              <w:spacing w:line="240" w:lineRule="auto"/>
              <w:ind w:firstLine="0" w:firstLineChars="0"/>
              <w:jc w:val="center"/>
              <w:textAlignment w:val="baseline"/>
              <w:rPr>
                <w:rFonts w:hint="eastAsia" w:eastAsia="方正仿宋_GBK" w:cs="Times New Roman"/>
                <w:snapToGrid w:val="0"/>
                <w:color w:val="auto"/>
                <w:kern w:val="0"/>
                <w:sz w:val="24"/>
                <w:lang w:eastAsia="zh-CN" w:bidi="ar"/>
              </w:rPr>
            </w:pPr>
            <w:r>
              <w:rPr>
                <w:rFonts w:hint="default" w:eastAsia="方正仿宋_GBK" w:cs="Times New Roman"/>
                <w:snapToGrid w:val="0"/>
                <w:color w:val="auto"/>
                <w:kern w:val="0"/>
                <w:sz w:val="24"/>
                <w:lang w:bidi="ar"/>
              </w:rPr>
              <w:t>划分方便，方便管理</w:t>
            </w:r>
            <w:r>
              <w:rPr>
                <w:rFonts w:hint="eastAsia" w:cs="Times New Roman"/>
                <w:snapToGrid w:val="0"/>
                <w:color w:val="auto"/>
                <w:kern w:val="0"/>
                <w:sz w:val="24"/>
                <w:lang w:eastAsia="zh-CN" w:bidi="ar"/>
              </w:rPr>
              <w:t>。</w:t>
            </w:r>
            <w:r>
              <w:rPr>
                <w:rFonts w:hint="default" w:eastAsia="方正仿宋_GBK" w:cs="Times New Roman"/>
                <w:snapToGrid w:val="0"/>
                <w:color w:val="auto"/>
                <w:kern w:val="0"/>
                <w:sz w:val="24"/>
                <w:lang w:bidi="ar"/>
              </w:rPr>
              <w:t>先划定某一区域进行</w:t>
            </w:r>
            <w:r>
              <w:rPr>
                <w:rFonts w:hint="eastAsia" w:cs="Times New Roman"/>
                <w:snapToGrid w:val="0"/>
                <w:color w:val="auto"/>
                <w:kern w:val="0"/>
                <w:sz w:val="24"/>
                <w:lang w:eastAsia="zh-CN" w:bidi="ar"/>
              </w:rPr>
              <w:t>先</w:t>
            </w:r>
            <w:r>
              <w:rPr>
                <w:rFonts w:hint="default" w:eastAsia="方正仿宋_GBK" w:cs="Times New Roman"/>
                <w:snapToGrid w:val="0"/>
                <w:color w:val="auto"/>
                <w:kern w:val="0"/>
                <w:sz w:val="24"/>
                <w:lang w:bidi="ar"/>
              </w:rPr>
              <w:t>行试点，然后再进一步优化噪声敏感建筑物集中区域</w:t>
            </w:r>
            <w:r>
              <w:rPr>
                <w:rFonts w:hint="eastAsia" w:cs="Times New Roman"/>
                <w:snapToGrid w:val="0"/>
                <w:color w:val="auto"/>
                <w:kern w:val="0"/>
                <w:sz w:val="24"/>
                <w:lang w:eastAsia="zh-CN" w:bidi="ar"/>
              </w:rPr>
              <w:t>，但基本未覆盖全部行政区，不利于后续管理，代表性有所欠缺。</w:t>
            </w:r>
          </w:p>
        </w:tc>
      </w:tr>
      <w:tr w14:paraId="186C0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14:paraId="5FF4C20E">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3</w:t>
            </w:r>
          </w:p>
        </w:tc>
        <w:tc>
          <w:tcPr>
            <w:tcW w:w="2235" w:type="dxa"/>
            <w:shd w:val="clear" w:color="auto" w:fill="auto"/>
            <w:vAlign w:val="center"/>
          </w:tcPr>
          <w:p w14:paraId="4BC56AE7">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依据用地现状类型、规划、建筑物布局、人口密度等要素划定</w:t>
            </w:r>
          </w:p>
        </w:tc>
        <w:tc>
          <w:tcPr>
            <w:tcW w:w="2235" w:type="dxa"/>
            <w:shd w:val="clear" w:color="auto" w:fill="auto"/>
            <w:vAlign w:val="center"/>
          </w:tcPr>
          <w:p w14:paraId="6FA2F542">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山东省-东营市；北京市-朝阳区；浙江省-义乌市等</w:t>
            </w:r>
          </w:p>
        </w:tc>
        <w:tc>
          <w:tcPr>
            <w:tcW w:w="3894" w:type="dxa"/>
            <w:shd w:val="clear" w:color="auto" w:fill="auto"/>
            <w:vAlign w:val="center"/>
          </w:tcPr>
          <w:p w14:paraId="59A7E0E8">
            <w:pPr>
              <w:kinsoku w:val="0"/>
              <w:autoSpaceDE w:val="0"/>
              <w:autoSpaceDN w:val="0"/>
              <w:adjustRightInd w:val="0"/>
              <w:snapToGrid w:val="0"/>
              <w:spacing w:line="240" w:lineRule="auto"/>
              <w:ind w:firstLine="0" w:firstLineChars="0"/>
              <w:jc w:val="center"/>
              <w:textAlignment w:val="baseline"/>
              <w:rPr>
                <w:rFonts w:hint="default" w:eastAsia="方正仿宋_GBK" w:cs="Times New Roman"/>
                <w:snapToGrid w:val="0"/>
                <w:color w:val="auto"/>
                <w:kern w:val="0"/>
                <w:sz w:val="24"/>
                <w:lang w:bidi="ar"/>
              </w:rPr>
            </w:pPr>
            <w:r>
              <w:rPr>
                <w:rFonts w:hint="default" w:eastAsia="方正仿宋_GBK" w:cs="Times New Roman"/>
                <w:snapToGrid w:val="0"/>
                <w:color w:val="auto"/>
                <w:kern w:val="0"/>
                <w:sz w:val="24"/>
                <w:lang w:bidi="ar"/>
              </w:rPr>
              <w:t>综合考虑用地现状、规划等多种因素，划分成果细致，划分工作量大，往往经济发达区域相应需求更大，噪声敏感建筑物集中区域的范围和区块数量多</w:t>
            </w:r>
          </w:p>
        </w:tc>
      </w:tr>
    </w:tbl>
    <w:p w14:paraId="77BEF674">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bookmarkStart w:id="40" w:name="_Toc31981"/>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.5总结</w:t>
      </w:r>
      <w:bookmarkEnd w:id="40"/>
    </w:p>
    <w:p w14:paraId="51DB7647">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对于噪声敏感建筑物集中区域的划分及管理要求，贯穿于上述各类噪声污染防治政策法规与工作当中，但针对噪声敏感建筑物集中区域的划分方法，从国家到地方缺乏统一、科学的规范，目前生态环境部根据第一批噪声污染防治试点（噪声敏感建筑物集中区域划定）工作开展的经验基础上，</w:t>
      </w:r>
      <w:r>
        <w:rPr>
          <w:rFonts w:hint="eastAsia" w:cs="Times New Roman"/>
          <w:color w:val="auto"/>
          <w:lang w:eastAsia="zh-CN"/>
        </w:rPr>
        <w:t>正在</w:t>
      </w:r>
      <w:r>
        <w:rPr>
          <w:rFonts w:hint="default" w:ascii="Times New Roman" w:hAnsi="Times New Roman" w:cs="Times New Roman"/>
          <w:color w:val="auto"/>
        </w:rPr>
        <w:t>组织编制《噪声敏感建筑物集中区域划定原则》</w:t>
      </w:r>
      <w:r>
        <w:rPr>
          <w:rFonts w:hint="eastAsia" w:cs="Times New Roman"/>
          <w:color w:val="auto"/>
          <w:lang w:eastAsia="zh-CN"/>
        </w:rPr>
        <w:t>，</w:t>
      </w:r>
      <w:r>
        <w:rPr>
          <w:rFonts w:hint="default" w:ascii="Times New Roman" w:hAnsi="Times New Roman" w:cs="Times New Roman"/>
          <w:color w:val="auto"/>
        </w:rPr>
        <w:t>指导各地开展划定工作，因此本标准的制定是落实国家法律、法规及相关政策的必然要求，也是新形势下噪声污染防治工作的有力支撑。</w:t>
      </w:r>
    </w:p>
    <w:p w14:paraId="0874C8F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方正黑体_GBK" w:hAnsi="方正黑体_GBK" w:eastAsia="方正黑体_GBK" w:cs="方正黑体_GBK"/>
          <w:b w:val="0"/>
          <w:bCs w:val="0"/>
          <w:color w:val="auto"/>
          <w:lang w:eastAsia="zh-CN"/>
        </w:rPr>
        <w:t xml:space="preserve"> </w:t>
      </w:r>
      <w:bookmarkStart w:id="41" w:name="_Toc21411"/>
      <w:r>
        <w:rPr>
          <w:rFonts w:hint="eastAsia" w:ascii="方正黑体_GBK" w:hAnsi="方正黑体_GBK" w:eastAsia="方正黑体_GBK" w:cs="方正黑体_GBK"/>
          <w:b w:val="0"/>
          <w:bCs w:val="0"/>
          <w:color w:val="auto"/>
          <w:lang w:eastAsia="zh-CN"/>
        </w:rPr>
        <w:t>六</w:t>
      </w:r>
      <w:r>
        <w:rPr>
          <w:rFonts w:hint="default" w:ascii="方正黑体_GBK" w:hAnsi="方正黑体_GBK" w:eastAsia="方正黑体_GBK" w:cs="方正黑体_GBK"/>
          <w:b w:val="0"/>
          <w:bCs w:val="0"/>
          <w:color w:val="auto"/>
          <w:lang w:eastAsia="zh-CN"/>
        </w:rPr>
        <w:t>、实施推广建议</w:t>
      </w:r>
      <w:bookmarkEnd w:id="41"/>
    </w:p>
    <w:bookmarkEnd w:id="0"/>
    <w:p w14:paraId="13783EF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bookmarkStart w:id="42" w:name="_Toc16416"/>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.1贯彻措施</w:t>
      </w:r>
      <w:bookmarkEnd w:id="42"/>
    </w:p>
    <w:p w14:paraId="09BBCF6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①</w:t>
      </w:r>
      <w:r>
        <w:rPr>
          <w:rFonts w:hint="default" w:ascii="Times New Roman" w:hAnsi="Times New Roman" w:cs="Times New Roman"/>
          <w:b/>
          <w:bCs/>
          <w:color w:val="auto"/>
        </w:rPr>
        <w:fldChar w:fldCharType="end"/>
      </w:r>
      <w:r>
        <w:rPr>
          <w:rFonts w:hint="default" w:ascii="Times New Roman" w:hAnsi="Times New Roman" w:cs="Times New Roman"/>
          <w:b/>
          <w:bCs/>
          <w:color w:val="auto"/>
        </w:rPr>
        <w:t>政策与制度保障</w:t>
      </w:r>
    </w:p>
    <w:p w14:paraId="1A08128E">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（1）将噪声敏感建筑物集中区域划定纳入地方环保规划、城市规划及土地利用规划，确保与交通、工业等专项规划衔接。</w:t>
      </w:r>
    </w:p>
    <w:p w14:paraId="562F7E23">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（2）制定地方性法规或管理办法，明确各部门职责（如生态环境、住建、交通、公安等）分工。</w:t>
      </w:r>
    </w:p>
    <w:p w14:paraId="4E084D53">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（3）建立噪声污染防治专项资金，支持噪声敏感建筑物集中区域隔音设施建设或搬迁补偿。</w:t>
      </w:r>
    </w:p>
    <w:p w14:paraId="49CF5174">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技术实施与监测</w:t>
      </w:r>
    </w:p>
    <w:p w14:paraId="4E3D0A02">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（1）采用GIS（地理信息系统）和噪声地图技术，结合实地监测数据，科学划定敏感区域边界。</w:t>
      </w:r>
    </w:p>
    <w:p w14:paraId="528ED888">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（2）对交通干线、工业区、商业区等噪声源进行长期监测，建立动态数据库。</w:t>
      </w:r>
    </w:p>
    <w:p w14:paraId="15A0CEA4">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3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③</w:t>
      </w:r>
      <w:r>
        <w:rPr>
          <w:rFonts w:hint="default" w:ascii="Times New Roman" w:hAnsi="Times New Roman" w:cs="Times New Roman"/>
          <w:b/>
          <w:bCs/>
          <w:color w:val="auto"/>
        </w:rPr>
        <w:fldChar w:fldCharType="end"/>
      </w:r>
      <w:r>
        <w:rPr>
          <w:rFonts w:hint="default" w:ascii="Times New Roman" w:hAnsi="Times New Roman" w:cs="Times New Roman"/>
          <w:b/>
          <w:bCs/>
          <w:color w:val="auto"/>
        </w:rPr>
        <w:t>监督与执法</w:t>
      </w:r>
    </w:p>
    <w:p w14:paraId="1926564B">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（1）加强环保、城管、检察等部门的联合执法，严查违规排放噪声行为。</w:t>
      </w:r>
    </w:p>
    <w:p w14:paraId="6EC94C2B">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（2）建立公众投诉平台，及时处理噪声扰民问题，公示处理结果。</w:t>
      </w:r>
    </w:p>
    <w:p w14:paraId="0FE63A49">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（3）定期对敏感区域噪声水平进行抽查，评估治理效果。</w:t>
      </w:r>
    </w:p>
    <w:p w14:paraId="1959A36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bookmarkStart w:id="43" w:name="_Toc9728"/>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.2实施建议</w:t>
      </w:r>
      <w:bookmarkEnd w:id="43"/>
    </w:p>
    <w:p w14:paraId="731D6165">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①</w:t>
      </w:r>
      <w:r>
        <w:rPr>
          <w:rFonts w:hint="default" w:ascii="Times New Roman" w:hAnsi="Times New Roman" w:cs="Times New Roman"/>
          <w:b/>
          <w:bCs/>
          <w:color w:val="auto"/>
        </w:rPr>
        <w:fldChar w:fldCharType="end"/>
      </w:r>
      <w:r>
        <w:rPr>
          <w:rFonts w:hint="default" w:ascii="Times New Roman" w:hAnsi="Times New Roman" w:cs="Times New Roman"/>
          <w:b/>
          <w:bCs/>
          <w:color w:val="auto"/>
        </w:rPr>
        <w:t>完善配套法规及标准</w:t>
      </w:r>
    </w:p>
    <w:p w14:paraId="24B88ECA">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（1）结合地方实际，细化噪声敏感区域的管理细则（如夜间噪声限值、特殊时段管控）。</w:t>
      </w:r>
    </w:p>
    <w:p w14:paraId="574A9287">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（2）推动跨区域噪声联防联控机制，避免“边界区域”管理盲区。</w:t>
      </w:r>
    </w:p>
    <w:p w14:paraId="27BBC97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推动技术创新与应用</w:t>
      </w:r>
    </w:p>
    <w:p w14:paraId="0E1E836A">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（1）鼓励研发低成本噪声监测设备及智能降噪技术。</w:t>
      </w:r>
    </w:p>
    <w:p w14:paraId="225B0849">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（2）推动跨区域噪声联防联控机制，避免“边界区域”管理盲区。</w:t>
      </w:r>
    </w:p>
    <w:p w14:paraId="71FCEED7">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3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③</w:t>
      </w:r>
      <w:r>
        <w:rPr>
          <w:rFonts w:hint="default" w:ascii="Times New Roman" w:hAnsi="Times New Roman" w:cs="Times New Roman"/>
          <w:b/>
          <w:bCs/>
          <w:color w:val="auto"/>
        </w:rPr>
        <w:fldChar w:fldCharType="end"/>
      </w:r>
      <w:r>
        <w:rPr>
          <w:rFonts w:hint="default" w:ascii="Times New Roman" w:hAnsi="Times New Roman" w:cs="Times New Roman"/>
          <w:b/>
          <w:bCs/>
          <w:color w:val="auto"/>
        </w:rPr>
        <w:t>积极协调各方利益</w:t>
      </w:r>
    </w:p>
    <w:p w14:paraId="0F639F66">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（1）对受划定影响的工业企业、施工单位等，提供技术指导或补偿政策，平衡环保与发展需求。</w:t>
      </w:r>
    </w:p>
    <w:p w14:paraId="7BE6D81B">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（2）联合交通部门优化道路规划，尽可能减少噪声敏感建筑物集中区域周边车流量的噪声影响。</w:t>
      </w:r>
    </w:p>
    <w:p w14:paraId="68D0F8A6">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bookmarkStart w:id="44" w:name="_Toc15048"/>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.3注意事项</w:t>
      </w:r>
      <w:bookmarkEnd w:id="44"/>
    </w:p>
    <w:p w14:paraId="33DFD85D">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1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①</w:t>
      </w:r>
      <w:r>
        <w:rPr>
          <w:rFonts w:hint="default" w:ascii="Times New Roman" w:hAnsi="Times New Roman" w:cs="Times New Roman"/>
          <w:b/>
          <w:bCs/>
          <w:color w:val="auto"/>
        </w:rPr>
        <w:fldChar w:fldCharType="end"/>
      </w:r>
      <w:r>
        <w:rPr>
          <w:rFonts w:hint="default" w:ascii="Times New Roman" w:hAnsi="Times New Roman" w:cs="Times New Roman"/>
          <w:b/>
          <w:bCs/>
          <w:color w:val="auto"/>
        </w:rPr>
        <w:t>科学性和动态性</w:t>
      </w:r>
    </w:p>
    <w:p w14:paraId="620842F0">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（1）划定需基于详实的现状调查数据，避免主观臆断；定期评估区域噪声变化，动态调整边界。</w:t>
      </w:r>
    </w:p>
    <w:p w14:paraId="26CF674D">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（2）考虑城市发展、人口密度变化等因素，预留未来调整空间。</w:t>
      </w:r>
    </w:p>
    <w:p w14:paraId="356DE594">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2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②</w:t>
      </w:r>
      <w:r>
        <w:rPr>
          <w:rFonts w:hint="default" w:ascii="Times New Roman" w:hAnsi="Times New Roman" w:cs="Times New Roman"/>
          <w:b/>
          <w:bCs/>
          <w:color w:val="auto"/>
        </w:rPr>
        <w:fldChar w:fldCharType="end"/>
      </w:r>
      <w:r>
        <w:rPr>
          <w:rFonts w:hint="default" w:ascii="Times New Roman" w:hAnsi="Times New Roman" w:cs="Times New Roman"/>
          <w:b/>
          <w:bCs/>
          <w:color w:val="auto"/>
        </w:rPr>
        <w:t>差异化管理</w:t>
      </w:r>
    </w:p>
    <w:p w14:paraId="540D3A41">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（1）区分城市与农村、不同噪声敏感建筑物的噪声敏感度，分类制定划定标准。</w:t>
      </w:r>
    </w:p>
    <w:p w14:paraId="1A80A123">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（2）避免“一刀切”，注重经济可行性与社会接受度。</w:t>
      </w:r>
    </w:p>
    <w:p w14:paraId="093BA423">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 3 \* GB3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③</w:t>
      </w:r>
      <w:r>
        <w:rPr>
          <w:rFonts w:hint="default" w:ascii="Times New Roman" w:hAnsi="Times New Roman" w:cs="Times New Roman"/>
          <w:b/>
          <w:bCs/>
          <w:color w:val="auto"/>
        </w:rPr>
        <w:fldChar w:fldCharType="end"/>
      </w:r>
      <w:r>
        <w:rPr>
          <w:rFonts w:hint="default" w:ascii="Times New Roman" w:hAnsi="Times New Roman" w:cs="Times New Roman"/>
          <w:b/>
          <w:bCs/>
          <w:color w:val="auto"/>
        </w:rPr>
        <w:t>预防为主，防治结合</w:t>
      </w:r>
    </w:p>
    <w:p w14:paraId="50148F8E">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（1）在规划阶段优先规避噪声风险（如避免在交通干线旁新建学校），而非事后治理。</w:t>
      </w:r>
    </w:p>
    <w:p w14:paraId="3FD4274F">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（2）对历史遗留的噪声问题，制定分阶段整改计划。</w:t>
      </w:r>
    </w:p>
    <w:p w14:paraId="3625B622">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b/>
          <w:bCs/>
          <w:color w:val="auto"/>
        </w:rPr>
      </w:pPr>
      <w:bookmarkStart w:id="45" w:name="_Toc4068"/>
      <w:r>
        <w:rPr>
          <w:rFonts w:hint="eastAsia" w:ascii="Times New Roman" w:hAnsi="Times New Roman" w:cs="Times New Roman"/>
          <w:b/>
          <w:bCs/>
          <w:color w:val="auto"/>
          <w:lang w:val="en-US" w:eastAsia="zh-CN"/>
        </w:rPr>
        <w:t>6</w:t>
      </w:r>
      <w:r>
        <w:rPr>
          <w:rFonts w:hint="default" w:ascii="Times New Roman" w:hAnsi="Times New Roman" w:cs="Times New Roman"/>
          <w:b/>
          <w:bCs/>
          <w:color w:val="auto"/>
        </w:rPr>
        <w:t>.4总结</w:t>
      </w:r>
      <w:bookmarkEnd w:id="45"/>
    </w:p>
    <w:p w14:paraId="1C95AF2C">
      <w:pPr>
        <w:pageBreakBefore w:val="0"/>
        <w:widowControl/>
        <w:kinsoku/>
        <w:wordWrap/>
        <w:overflowPunct/>
        <w:topLinePunct w:val="0"/>
        <w:autoSpaceDE/>
        <w:autoSpaceDN/>
        <w:bidi w:val="0"/>
        <w:adjustRightInd/>
        <w:snapToGrid/>
        <w:spacing w:line="560" w:lineRule="exact"/>
        <w:ind w:firstLine="645" w:firstLineChars="0"/>
        <w:jc w:val="left"/>
        <w:textAlignment w:val="auto"/>
        <w:rPr>
          <w:rFonts w:hint="default" w:ascii="Times New Roman" w:hAnsi="Times New Roman" w:cs="Times New Roman"/>
          <w:color w:val="auto"/>
        </w:rPr>
      </w:pPr>
      <w:r>
        <w:rPr>
          <w:rFonts w:hint="default" w:ascii="Times New Roman" w:hAnsi="Times New Roman" w:cs="Times New Roman"/>
          <w:color w:val="auto"/>
        </w:rPr>
        <w:t>贯彻《噪声敏感建筑物集中区域划定技术规范》需统筹技术、政策、社会多方资源，注重科学划定与人性化管理，同时加强公众沟通与跨部门协作。通过“规划预防-调查评估-分区管控-动态调整”的全流程管理，才能有效降低噪声污染对敏感区域的影响，提升人居环境质量。</w:t>
      </w:r>
    </w:p>
    <w:sectPr>
      <w:pgSz w:w="11906" w:h="16838"/>
      <w:pgMar w:top="1134" w:right="1134" w:bottom="851"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3455003"/>
      <w:docPartObj>
        <w:docPartGallery w:val="autotext"/>
      </w:docPartObj>
    </w:sdtPr>
    <w:sdtContent>
      <w:p w14:paraId="2E4DD060">
        <w:pPr>
          <w:pStyle w:val="11"/>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7643B">
    <w:pPr>
      <w:pStyle w:val="8"/>
      <w:spacing w:line="14" w:lineRule="auto"/>
      <w:ind w:firstLine="40"/>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hOTYzNjNiMDFkODQ3Y2RmYTUxZTU5MjgxODJmYzQifQ=="/>
  </w:docVars>
  <w:rsids>
    <w:rsidRoot w:val="00234D6C"/>
    <w:rsid w:val="000004F0"/>
    <w:rsid w:val="00000AF4"/>
    <w:rsid w:val="00000D15"/>
    <w:rsid w:val="00001CB2"/>
    <w:rsid w:val="00001E06"/>
    <w:rsid w:val="00002111"/>
    <w:rsid w:val="000030AD"/>
    <w:rsid w:val="0000310C"/>
    <w:rsid w:val="00003123"/>
    <w:rsid w:val="00003E26"/>
    <w:rsid w:val="00003FBF"/>
    <w:rsid w:val="0000462F"/>
    <w:rsid w:val="000049F3"/>
    <w:rsid w:val="00006631"/>
    <w:rsid w:val="000066AC"/>
    <w:rsid w:val="000073E2"/>
    <w:rsid w:val="000075C8"/>
    <w:rsid w:val="00010183"/>
    <w:rsid w:val="0001058B"/>
    <w:rsid w:val="00010710"/>
    <w:rsid w:val="00011757"/>
    <w:rsid w:val="000118D1"/>
    <w:rsid w:val="00011AAF"/>
    <w:rsid w:val="00011E1E"/>
    <w:rsid w:val="00013172"/>
    <w:rsid w:val="000134E4"/>
    <w:rsid w:val="00013A27"/>
    <w:rsid w:val="00014723"/>
    <w:rsid w:val="000148F1"/>
    <w:rsid w:val="00014DCE"/>
    <w:rsid w:val="00014EAF"/>
    <w:rsid w:val="0001553B"/>
    <w:rsid w:val="000158AA"/>
    <w:rsid w:val="00016445"/>
    <w:rsid w:val="000167EC"/>
    <w:rsid w:val="00021ED8"/>
    <w:rsid w:val="00022EDD"/>
    <w:rsid w:val="00023103"/>
    <w:rsid w:val="000239D5"/>
    <w:rsid w:val="00023B4C"/>
    <w:rsid w:val="000240AF"/>
    <w:rsid w:val="0002481E"/>
    <w:rsid w:val="00024EFD"/>
    <w:rsid w:val="000252CC"/>
    <w:rsid w:val="00025A64"/>
    <w:rsid w:val="00025FF6"/>
    <w:rsid w:val="00026CE4"/>
    <w:rsid w:val="00027328"/>
    <w:rsid w:val="00027B8B"/>
    <w:rsid w:val="000300A4"/>
    <w:rsid w:val="000300A8"/>
    <w:rsid w:val="00031806"/>
    <w:rsid w:val="00031967"/>
    <w:rsid w:val="000331C2"/>
    <w:rsid w:val="00033AD1"/>
    <w:rsid w:val="00034078"/>
    <w:rsid w:val="00034C31"/>
    <w:rsid w:val="0003647E"/>
    <w:rsid w:val="0003742E"/>
    <w:rsid w:val="00040282"/>
    <w:rsid w:val="000402FD"/>
    <w:rsid w:val="0004072C"/>
    <w:rsid w:val="00040F79"/>
    <w:rsid w:val="00041A3F"/>
    <w:rsid w:val="00042613"/>
    <w:rsid w:val="0004411D"/>
    <w:rsid w:val="00044BA9"/>
    <w:rsid w:val="0004521A"/>
    <w:rsid w:val="000462AA"/>
    <w:rsid w:val="0004670A"/>
    <w:rsid w:val="0004684A"/>
    <w:rsid w:val="00046B2D"/>
    <w:rsid w:val="00046F5B"/>
    <w:rsid w:val="000475BC"/>
    <w:rsid w:val="0004761D"/>
    <w:rsid w:val="000479A9"/>
    <w:rsid w:val="00047ECD"/>
    <w:rsid w:val="00050EC6"/>
    <w:rsid w:val="00050EFF"/>
    <w:rsid w:val="0005135D"/>
    <w:rsid w:val="00051646"/>
    <w:rsid w:val="000519CE"/>
    <w:rsid w:val="00051C05"/>
    <w:rsid w:val="00052301"/>
    <w:rsid w:val="000528BF"/>
    <w:rsid w:val="00054481"/>
    <w:rsid w:val="000558BA"/>
    <w:rsid w:val="00055990"/>
    <w:rsid w:val="00055C60"/>
    <w:rsid w:val="00055F4F"/>
    <w:rsid w:val="00056A1E"/>
    <w:rsid w:val="00056CEF"/>
    <w:rsid w:val="0006083F"/>
    <w:rsid w:val="00060C16"/>
    <w:rsid w:val="00061315"/>
    <w:rsid w:val="0006198D"/>
    <w:rsid w:val="000622FB"/>
    <w:rsid w:val="000625AE"/>
    <w:rsid w:val="00063A54"/>
    <w:rsid w:val="00063BC8"/>
    <w:rsid w:val="00063C78"/>
    <w:rsid w:val="00064047"/>
    <w:rsid w:val="00064606"/>
    <w:rsid w:val="00064B1D"/>
    <w:rsid w:val="000655DD"/>
    <w:rsid w:val="000657E5"/>
    <w:rsid w:val="0006628C"/>
    <w:rsid w:val="000667C5"/>
    <w:rsid w:val="0006748C"/>
    <w:rsid w:val="0007000F"/>
    <w:rsid w:val="0007098F"/>
    <w:rsid w:val="000709AA"/>
    <w:rsid w:val="00070B74"/>
    <w:rsid w:val="00071907"/>
    <w:rsid w:val="000720FF"/>
    <w:rsid w:val="0007214B"/>
    <w:rsid w:val="00072524"/>
    <w:rsid w:val="000725FD"/>
    <w:rsid w:val="000727DC"/>
    <w:rsid w:val="000739F6"/>
    <w:rsid w:val="00073B50"/>
    <w:rsid w:val="00073BA7"/>
    <w:rsid w:val="00073D86"/>
    <w:rsid w:val="00075226"/>
    <w:rsid w:val="000758D5"/>
    <w:rsid w:val="00075F12"/>
    <w:rsid w:val="000765B8"/>
    <w:rsid w:val="00077E61"/>
    <w:rsid w:val="000800B2"/>
    <w:rsid w:val="00080615"/>
    <w:rsid w:val="00080FB6"/>
    <w:rsid w:val="0008145E"/>
    <w:rsid w:val="00081C37"/>
    <w:rsid w:val="000833A4"/>
    <w:rsid w:val="0008387E"/>
    <w:rsid w:val="00083922"/>
    <w:rsid w:val="00083D68"/>
    <w:rsid w:val="00083FEE"/>
    <w:rsid w:val="000841B8"/>
    <w:rsid w:val="00084C6F"/>
    <w:rsid w:val="0008538A"/>
    <w:rsid w:val="00085825"/>
    <w:rsid w:val="00085BC4"/>
    <w:rsid w:val="0008643A"/>
    <w:rsid w:val="000864F6"/>
    <w:rsid w:val="00086AA3"/>
    <w:rsid w:val="00090843"/>
    <w:rsid w:val="00090EC1"/>
    <w:rsid w:val="000911AE"/>
    <w:rsid w:val="000917FB"/>
    <w:rsid w:val="00091C60"/>
    <w:rsid w:val="00092235"/>
    <w:rsid w:val="00092C93"/>
    <w:rsid w:val="00093198"/>
    <w:rsid w:val="00093968"/>
    <w:rsid w:val="00093DBB"/>
    <w:rsid w:val="000942DE"/>
    <w:rsid w:val="00095FAE"/>
    <w:rsid w:val="00096135"/>
    <w:rsid w:val="00096260"/>
    <w:rsid w:val="000964D1"/>
    <w:rsid w:val="00096B9F"/>
    <w:rsid w:val="00097341"/>
    <w:rsid w:val="00097D48"/>
    <w:rsid w:val="00097D7C"/>
    <w:rsid w:val="00097EBA"/>
    <w:rsid w:val="000A16FB"/>
    <w:rsid w:val="000A188E"/>
    <w:rsid w:val="000A2578"/>
    <w:rsid w:val="000A273F"/>
    <w:rsid w:val="000A3059"/>
    <w:rsid w:val="000A313F"/>
    <w:rsid w:val="000A3189"/>
    <w:rsid w:val="000A31A7"/>
    <w:rsid w:val="000A329D"/>
    <w:rsid w:val="000A34DC"/>
    <w:rsid w:val="000A4772"/>
    <w:rsid w:val="000A5586"/>
    <w:rsid w:val="000A5825"/>
    <w:rsid w:val="000A5AAC"/>
    <w:rsid w:val="000A64D5"/>
    <w:rsid w:val="000A6586"/>
    <w:rsid w:val="000A65BB"/>
    <w:rsid w:val="000A73A4"/>
    <w:rsid w:val="000A774B"/>
    <w:rsid w:val="000A7BCB"/>
    <w:rsid w:val="000A7EE8"/>
    <w:rsid w:val="000B0DB0"/>
    <w:rsid w:val="000B10B1"/>
    <w:rsid w:val="000B1B10"/>
    <w:rsid w:val="000B21D0"/>
    <w:rsid w:val="000B3944"/>
    <w:rsid w:val="000B39D9"/>
    <w:rsid w:val="000B48AA"/>
    <w:rsid w:val="000B48EB"/>
    <w:rsid w:val="000B6A85"/>
    <w:rsid w:val="000B7768"/>
    <w:rsid w:val="000B7805"/>
    <w:rsid w:val="000C0014"/>
    <w:rsid w:val="000C0343"/>
    <w:rsid w:val="000C14C0"/>
    <w:rsid w:val="000C1C4B"/>
    <w:rsid w:val="000C28C4"/>
    <w:rsid w:val="000C3793"/>
    <w:rsid w:val="000C3F77"/>
    <w:rsid w:val="000C45AD"/>
    <w:rsid w:val="000C466E"/>
    <w:rsid w:val="000C5157"/>
    <w:rsid w:val="000C523A"/>
    <w:rsid w:val="000C58E9"/>
    <w:rsid w:val="000C60D0"/>
    <w:rsid w:val="000C6381"/>
    <w:rsid w:val="000C7A79"/>
    <w:rsid w:val="000D09DA"/>
    <w:rsid w:val="000D0EAD"/>
    <w:rsid w:val="000D2948"/>
    <w:rsid w:val="000D2E99"/>
    <w:rsid w:val="000D303A"/>
    <w:rsid w:val="000D3AB8"/>
    <w:rsid w:val="000D4AF6"/>
    <w:rsid w:val="000D667F"/>
    <w:rsid w:val="000D6E58"/>
    <w:rsid w:val="000D774E"/>
    <w:rsid w:val="000D7C1E"/>
    <w:rsid w:val="000E0B64"/>
    <w:rsid w:val="000E1E41"/>
    <w:rsid w:val="000E2410"/>
    <w:rsid w:val="000E2FD8"/>
    <w:rsid w:val="000E3107"/>
    <w:rsid w:val="000E3242"/>
    <w:rsid w:val="000E34A8"/>
    <w:rsid w:val="000E3949"/>
    <w:rsid w:val="000E5275"/>
    <w:rsid w:val="000E7A29"/>
    <w:rsid w:val="000F12B5"/>
    <w:rsid w:val="000F15E0"/>
    <w:rsid w:val="000F29B5"/>
    <w:rsid w:val="000F2BE7"/>
    <w:rsid w:val="000F2D60"/>
    <w:rsid w:val="000F2FF8"/>
    <w:rsid w:val="000F39F2"/>
    <w:rsid w:val="000F3B07"/>
    <w:rsid w:val="000F3EF2"/>
    <w:rsid w:val="000F434C"/>
    <w:rsid w:val="000F47A2"/>
    <w:rsid w:val="000F5199"/>
    <w:rsid w:val="000F5254"/>
    <w:rsid w:val="000F60F2"/>
    <w:rsid w:val="000F6556"/>
    <w:rsid w:val="000F6666"/>
    <w:rsid w:val="000F6F32"/>
    <w:rsid w:val="0010058D"/>
    <w:rsid w:val="001011CC"/>
    <w:rsid w:val="00101661"/>
    <w:rsid w:val="00101C4A"/>
    <w:rsid w:val="001027C5"/>
    <w:rsid w:val="00102B55"/>
    <w:rsid w:val="00103389"/>
    <w:rsid w:val="00103830"/>
    <w:rsid w:val="00103EEF"/>
    <w:rsid w:val="001041D8"/>
    <w:rsid w:val="0010435E"/>
    <w:rsid w:val="001047CE"/>
    <w:rsid w:val="00105FDD"/>
    <w:rsid w:val="00106448"/>
    <w:rsid w:val="00107206"/>
    <w:rsid w:val="0010782E"/>
    <w:rsid w:val="00111625"/>
    <w:rsid w:val="00111754"/>
    <w:rsid w:val="00111AC1"/>
    <w:rsid w:val="00112637"/>
    <w:rsid w:val="001127C6"/>
    <w:rsid w:val="00112AF6"/>
    <w:rsid w:val="00113873"/>
    <w:rsid w:val="00113D61"/>
    <w:rsid w:val="00113DC7"/>
    <w:rsid w:val="001142A4"/>
    <w:rsid w:val="00114F83"/>
    <w:rsid w:val="0011512B"/>
    <w:rsid w:val="00115D0C"/>
    <w:rsid w:val="00116642"/>
    <w:rsid w:val="00116B1F"/>
    <w:rsid w:val="0011707B"/>
    <w:rsid w:val="00117C93"/>
    <w:rsid w:val="001203D6"/>
    <w:rsid w:val="001203D8"/>
    <w:rsid w:val="00120CC5"/>
    <w:rsid w:val="00120F5C"/>
    <w:rsid w:val="001212A8"/>
    <w:rsid w:val="0012290D"/>
    <w:rsid w:val="0012370E"/>
    <w:rsid w:val="00123B1E"/>
    <w:rsid w:val="00123CB2"/>
    <w:rsid w:val="001241F2"/>
    <w:rsid w:val="001260B8"/>
    <w:rsid w:val="0012619D"/>
    <w:rsid w:val="001261D6"/>
    <w:rsid w:val="001266B1"/>
    <w:rsid w:val="0012721F"/>
    <w:rsid w:val="00127B15"/>
    <w:rsid w:val="001311E9"/>
    <w:rsid w:val="0013317E"/>
    <w:rsid w:val="00133989"/>
    <w:rsid w:val="00134076"/>
    <w:rsid w:val="001344AD"/>
    <w:rsid w:val="00134982"/>
    <w:rsid w:val="00134CB1"/>
    <w:rsid w:val="00134FD3"/>
    <w:rsid w:val="001354D1"/>
    <w:rsid w:val="001364A7"/>
    <w:rsid w:val="00136F4C"/>
    <w:rsid w:val="00137807"/>
    <w:rsid w:val="001402BF"/>
    <w:rsid w:val="00140300"/>
    <w:rsid w:val="001407AA"/>
    <w:rsid w:val="00140AA0"/>
    <w:rsid w:val="00140DF0"/>
    <w:rsid w:val="001413E0"/>
    <w:rsid w:val="00141636"/>
    <w:rsid w:val="00142438"/>
    <w:rsid w:val="001436DC"/>
    <w:rsid w:val="00146D0B"/>
    <w:rsid w:val="001473EE"/>
    <w:rsid w:val="0015060B"/>
    <w:rsid w:val="00151543"/>
    <w:rsid w:val="00151B04"/>
    <w:rsid w:val="001520F9"/>
    <w:rsid w:val="00152C10"/>
    <w:rsid w:val="00152CA9"/>
    <w:rsid w:val="00154C37"/>
    <w:rsid w:val="001551BC"/>
    <w:rsid w:val="00155E7C"/>
    <w:rsid w:val="00156619"/>
    <w:rsid w:val="00157863"/>
    <w:rsid w:val="001578DE"/>
    <w:rsid w:val="001600A9"/>
    <w:rsid w:val="0016092E"/>
    <w:rsid w:val="00160A7B"/>
    <w:rsid w:val="00161CF0"/>
    <w:rsid w:val="0016249C"/>
    <w:rsid w:val="001629F0"/>
    <w:rsid w:val="001641BC"/>
    <w:rsid w:val="0016437E"/>
    <w:rsid w:val="00164986"/>
    <w:rsid w:val="00166D7F"/>
    <w:rsid w:val="00171B9B"/>
    <w:rsid w:val="00171F2E"/>
    <w:rsid w:val="00172B67"/>
    <w:rsid w:val="0017303E"/>
    <w:rsid w:val="00173FFA"/>
    <w:rsid w:val="001740C0"/>
    <w:rsid w:val="00174DC7"/>
    <w:rsid w:val="001752FF"/>
    <w:rsid w:val="00175937"/>
    <w:rsid w:val="00175A0B"/>
    <w:rsid w:val="00175D9C"/>
    <w:rsid w:val="00176DC1"/>
    <w:rsid w:val="001773BF"/>
    <w:rsid w:val="0018017B"/>
    <w:rsid w:val="00180826"/>
    <w:rsid w:val="00180C89"/>
    <w:rsid w:val="00181046"/>
    <w:rsid w:val="001816A3"/>
    <w:rsid w:val="001822BA"/>
    <w:rsid w:val="001822E4"/>
    <w:rsid w:val="001844AE"/>
    <w:rsid w:val="001846F8"/>
    <w:rsid w:val="0018578F"/>
    <w:rsid w:val="00185938"/>
    <w:rsid w:val="00185CD0"/>
    <w:rsid w:val="00185E18"/>
    <w:rsid w:val="00186019"/>
    <w:rsid w:val="001861F3"/>
    <w:rsid w:val="0018630E"/>
    <w:rsid w:val="00187DCB"/>
    <w:rsid w:val="00187EDA"/>
    <w:rsid w:val="00191B96"/>
    <w:rsid w:val="00192E5F"/>
    <w:rsid w:val="001930D6"/>
    <w:rsid w:val="00193A74"/>
    <w:rsid w:val="00193DA1"/>
    <w:rsid w:val="0019532B"/>
    <w:rsid w:val="00195731"/>
    <w:rsid w:val="00195FA7"/>
    <w:rsid w:val="001968BF"/>
    <w:rsid w:val="0019714C"/>
    <w:rsid w:val="00197F3C"/>
    <w:rsid w:val="001A1CC6"/>
    <w:rsid w:val="001A1CEE"/>
    <w:rsid w:val="001A2C2C"/>
    <w:rsid w:val="001A35FF"/>
    <w:rsid w:val="001A430D"/>
    <w:rsid w:val="001A4EDF"/>
    <w:rsid w:val="001A4FE4"/>
    <w:rsid w:val="001A5178"/>
    <w:rsid w:val="001A529F"/>
    <w:rsid w:val="001A6D19"/>
    <w:rsid w:val="001A750C"/>
    <w:rsid w:val="001B08AE"/>
    <w:rsid w:val="001B147D"/>
    <w:rsid w:val="001B23B1"/>
    <w:rsid w:val="001B24AF"/>
    <w:rsid w:val="001B2AD2"/>
    <w:rsid w:val="001B2F75"/>
    <w:rsid w:val="001B3169"/>
    <w:rsid w:val="001B3431"/>
    <w:rsid w:val="001B3636"/>
    <w:rsid w:val="001B3890"/>
    <w:rsid w:val="001B4518"/>
    <w:rsid w:val="001B4816"/>
    <w:rsid w:val="001B4AE1"/>
    <w:rsid w:val="001B5133"/>
    <w:rsid w:val="001B536D"/>
    <w:rsid w:val="001B5AC2"/>
    <w:rsid w:val="001B5E50"/>
    <w:rsid w:val="001B7937"/>
    <w:rsid w:val="001C0825"/>
    <w:rsid w:val="001C16DB"/>
    <w:rsid w:val="001C1B5F"/>
    <w:rsid w:val="001C2018"/>
    <w:rsid w:val="001C24BB"/>
    <w:rsid w:val="001C302B"/>
    <w:rsid w:val="001C3D0D"/>
    <w:rsid w:val="001C4C6D"/>
    <w:rsid w:val="001C56AA"/>
    <w:rsid w:val="001C5EEF"/>
    <w:rsid w:val="001C6036"/>
    <w:rsid w:val="001C66A7"/>
    <w:rsid w:val="001C6D76"/>
    <w:rsid w:val="001C704E"/>
    <w:rsid w:val="001C7CB5"/>
    <w:rsid w:val="001D00C9"/>
    <w:rsid w:val="001D0274"/>
    <w:rsid w:val="001D02CE"/>
    <w:rsid w:val="001D08E7"/>
    <w:rsid w:val="001D0B46"/>
    <w:rsid w:val="001D0C07"/>
    <w:rsid w:val="001D169F"/>
    <w:rsid w:val="001D2016"/>
    <w:rsid w:val="001D26F5"/>
    <w:rsid w:val="001D297C"/>
    <w:rsid w:val="001D3867"/>
    <w:rsid w:val="001D3ADF"/>
    <w:rsid w:val="001D4216"/>
    <w:rsid w:val="001D45E5"/>
    <w:rsid w:val="001D553D"/>
    <w:rsid w:val="001D5DAE"/>
    <w:rsid w:val="001D7B2F"/>
    <w:rsid w:val="001D7E4C"/>
    <w:rsid w:val="001D7E5B"/>
    <w:rsid w:val="001E018D"/>
    <w:rsid w:val="001E021F"/>
    <w:rsid w:val="001E029C"/>
    <w:rsid w:val="001E0801"/>
    <w:rsid w:val="001E08D0"/>
    <w:rsid w:val="001E0DB6"/>
    <w:rsid w:val="001E10F6"/>
    <w:rsid w:val="001E2E30"/>
    <w:rsid w:val="001E3CDC"/>
    <w:rsid w:val="001E40B6"/>
    <w:rsid w:val="001E4620"/>
    <w:rsid w:val="001E4B31"/>
    <w:rsid w:val="001E4DB8"/>
    <w:rsid w:val="001E4F62"/>
    <w:rsid w:val="001E5211"/>
    <w:rsid w:val="001E5666"/>
    <w:rsid w:val="001E6955"/>
    <w:rsid w:val="001E697F"/>
    <w:rsid w:val="001E6A20"/>
    <w:rsid w:val="001E6D12"/>
    <w:rsid w:val="001E6F15"/>
    <w:rsid w:val="001E727C"/>
    <w:rsid w:val="001E7647"/>
    <w:rsid w:val="001E7E87"/>
    <w:rsid w:val="001F03A5"/>
    <w:rsid w:val="001F08A8"/>
    <w:rsid w:val="001F0B35"/>
    <w:rsid w:val="001F0DD2"/>
    <w:rsid w:val="001F14D3"/>
    <w:rsid w:val="001F241F"/>
    <w:rsid w:val="001F3619"/>
    <w:rsid w:val="001F3A4F"/>
    <w:rsid w:val="001F3D50"/>
    <w:rsid w:val="001F4095"/>
    <w:rsid w:val="001F4109"/>
    <w:rsid w:val="001F4364"/>
    <w:rsid w:val="001F4467"/>
    <w:rsid w:val="001F5A71"/>
    <w:rsid w:val="001F652B"/>
    <w:rsid w:val="001F71C0"/>
    <w:rsid w:val="001F7485"/>
    <w:rsid w:val="00200AB9"/>
    <w:rsid w:val="00200B21"/>
    <w:rsid w:val="00202A31"/>
    <w:rsid w:val="00202AFD"/>
    <w:rsid w:val="00202C09"/>
    <w:rsid w:val="00202E3E"/>
    <w:rsid w:val="002039CE"/>
    <w:rsid w:val="002049D6"/>
    <w:rsid w:val="00204DCF"/>
    <w:rsid w:val="0020589C"/>
    <w:rsid w:val="00205AAA"/>
    <w:rsid w:val="00205DFB"/>
    <w:rsid w:val="0020739F"/>
    <w:rsid w:val="0021137A"/>
    <w:rsid w:val="0021178F"/>
    <w:rsid w:val="002117FF"/>
    <w:rsid w:val="00211C77"/>
    <w:rsid w:val="0021269A"/>
    <w:rsid w:val="00212B40"/>
    <w:rsid w:val="0021413E"/>
    <w:rsid w:val="0021488A"/>
    <w:rsid w:val="00214D5A"/>
    <w:rsid w:val="00216A02"/>
    <w:rsid w:val="00216CB9"/>
    <w:rsid w:val="002174B4"/>
    <w:rsid w:val="002178C8"/>
    <w:rsid w:val="0022191A"/>
    <w:rsid w:val="00221D20"/>
    <w:rsid w:val="002234A1"/>
    <w:rsid w:val="002241C0"/>
    <w:rsid w:val="00224327"/>
    <w:rsid w:val="00224C9D"/>
    <w:rsid w:val="00224F83"/>
    <w:rsid w:val="00224F96"/>
    <w:rsid w:val="00225129"/>
    <w:rsid w:val="00225171"/>
    <w:rsid w:val="002262AC"/>
    <w:rsid w:val="00227AD1"/>
    <w:rsid w:val="0023054B"/>
    <w:rsid w:val="00230636"/>
    <w:rsid w:val="00230BC1"/>
    <w:rsid w:val="00231612"/>
    <w:rsid w:val="002319A4"/>
    <w:rsid w:val="00231DA7"/>
    <w:rsid w:val="0023287A"/>
    <w:rsid w:val="002329A2"/>
    <w:rsid w:val="00232CE8"/>
    <w:rsid w:val="00232D71"/>
    <w:rsid w:val="00233433"/>
    <w:rsid w:val="002347B6"/>
    <w:rsid w:val="00234D6C"/>
    <w:rsid w:val="00234E4D"/>
    <w:rsid w:val="0023524A"/>
    <w:rsid w:val="00236954"/>
    <w:rsid w:val="00236F72"/>
    <w:rsid w:val="00237442"/>
    <w:rsid w:val="0024344B"/>
    <w:rsid w:val="00243A93"/>
    <w:rsid w:val="00243DBF"/>
    <w:rsid w:val="00243F60"/>
    <w:rsid w:val="0024460F"/>
    <w:rsid w:val="002449D3"/>
    <w:rsid w:val="0024588F"/>
    <w:rsid w:val="0024626D"/>
    <w:rsid w:val="00246278"/>
    <w:rsid w:val="00246C4B"/>
    <w:rsid w:val="00247215"/>
    <w:rsid w:val="002473A8"/>
    <w:rsid w:val="00247A16"/>
    <w:rsid w:val="00250870"/>
    <w:rsid w:val="00250914"/>
    <w:rsid w:val="00250BE1"/>
    <w:rsid w:val="00250EB5"/>
    <w:rsid w:val="002512F4"/>
    <w:rsid w:val="00251E00"/>
    <w:rsid w:val="002521FF"/>
    <w:rsid w:val="00252486"/>
    <w:rsid w:val="00252BEF"/>
    <w:rsid w:val="002530E4"/>
    <w:rsid w:val="00253164"/>
    <w:rsid w:val="00253F61"/>
    <w:rsid w:val="00255C22"/>
    <w:rsid w:val="0025604E"/>
    <w:rsid w:val="00256B85"/>
    <w:rsid w:val="00261F2F"/>
    <w:rsid w:val="00262D52"/>
    <w:rsid w:val="00262D8F"/>
    <w:rsid w:val="00263186"/>
    <w:rsid w:val="00264CFC"/>
    <w:rsid w:val="00265282"/>
    <w:rsid w:val="002661AB"/>
    <w:rsid w:val="002669FE"/>
    <w:rsid w:val="00267034"/>
    <w:rsid w:val="002674FD"/>
    <w:rsid w:val="00267602"/>
    <w:rsid w:val="00267603"/>
    <w:rsid w:val="002678B6"/>
    <w:rsid w:val="00267DB2"/>
    <w:rsid w:val="0027025F"/>
    <w:rsid w:val="00270B47"/>
    <w:rsid w:val="0027155D"/>
    <w:rsid w:val="00271BB5"/>
    <w:rsid w:val="00271BD8"/>
    <w:rsid w:val="0027236D"/>
    <w:rsid w:val="00272B52"/>
    <w:rsid w:val="00272C5A"/>
    <w:rsid w:val="0027356A"/>
    <w:rsid w:val="00273904"/>
    <w:rsid w:val="00273AD5"/>
    <w:rsid w:val="00273F25"/>
    <w:rsid w:val="00274BE2"/>
    <w:rsid w:val="00274F01"/>
    <w:rsid w:val="002754BE"/>
    <w:rsid w:val="00275AFB"/>
    <w:rsid w:val="0027746C"/>
    <w:rsid w:val="002801B8"/>
    <w:rsid w:val="00280EFB"/>
    <w:rsid w:val="002810DC"/>
    <w:rsid w:val="00281C94"/>
    <w:rsid w:val="00282335"/>
    <w:rsid w:val="00282AD7"/>
    <w:rsid w:val="00283A44"/>
    <w:rsid w:val="00283CB8"/>
    <w:rsid w:val="00284122"/>
    <w:rsid w:val="00284D00"/>
    <w:rsid w:val="00286D0B"/>
    <w:rsid w:val="002901C7"/>
    <w:rsid w:val="00291BF2"/>
    <w:rsid w:val="0029253A"/>
    <w:rsid w:val="0029298A"/>
    <w:rsid w:val="00292E91"/>
    <w:rsid w:val="00295CE3"/>
    <w:rsid w:val="002A2016"/>
    <w:rsid w:val="002A27E7"/>
    <w:rsid w:val="002A2A1F"/>
    <w:rsid w:val="002A3860"/>
    <w:rsid w:val="002A3B62"/>
    <w:rsid w:val="002A449D"/>
    <w:rsid w:val="002A4958"/>
    <w:rsid w:val="002A5354"/>
    <w:rsid w:val="002A5D00"/>
    <w:rsid w:val="002A602F"/>
    <w:rsid w:val="002A68F9"/>
    <w:rsid w:val="002A76C2"/>
    <w:rsid w:val="002A79DA"/>
    <w:rsid w:val="002B2BF6"/>
    <w:rsid w:val="002B3D23"/>
    <w:rsid w:val="002B4604"/>
    <w:rsid w:val="002B5378"/>
    <w:rsid w:val="002B5712"/>
    <w:rsid w:val="002B5B17"/>
    <w:rsid w:val="002B6FB4"/>
    <w:rsid w:val="002B72E6"/>
    <w:rsid w:val="002B76B6"/>
    <w:rsid w:val="002B7E63"/>
    <w:rsid w:val="002C0167"/>
    <w:rsid w:val="002C0AD8"/>
    <w:rsid w:val="002C0F0C"/>
    <w:rsid w:val="002C2022"/>
    <w:rsid w:val="002C3724"/>
    <w:rsid w:val="002C3933"/>
    <w:rsid w:val="002C3996"/>
    <w:rsid w:val="002C52E9"/>
    <w:rsid w:val="002C56A0"/>
    <w:rsid w:val="002C57FF"/>
    <w:rsid w:val="002C68DB"/>
    <w:rsid w:val="002C74B7"/>
    <w:rsid w:val="002C7F3D"/>
    <w:rsid w:val="002D057E"/>
    <w:rsid w:val="002D0CFA"/>
    <w:rsid w:val="002D0D15"/>
    <w:rsid w:val="002D10EB"/>
    <w:rsid w:val="002D214F"/>
    <w:rsid w:val="002D29C8"/>
    <w:rsid w:val="002D4004"/>
    <w:rsid w:val="002D4D9E"/>
    <w:rsid w:val="002D5646"/>
    <w:rsid w:val="002D5DD8"/>
    <w:rsid w:val="002D5F5B"/>
    <w:rsid w:val="002D60A4"/>
    <w:rsid w:val="002D6244"/>
    <w:rsid w:val="002D6635"/>
    <w:rsid w:val="002D6870"/>
    <w:rsid w:val="002D6FBF"/>
    <w:rsid w:val="002D7A74"/>
    <w:rsid w:val="002E0BCF"/>
    <w:rsid w:val="002E120A"/>
    <w:rsid w:val="002E241C"/>
    <w:rsid w:val="002E344D"/>
    <w:rsid w:val="002E3559"/>
    <w:rsid w:val="002E400F"/>
    <w:rsid w:val="002E48C1"/>
    <w:rsid w:val="002E4B0F"/>
    <w:rsid w:val="002E4E9A"/>
    <w:rsid w:val="002E5730"/>
    <w:rsid w:val="002E5E1C"/>
    <w:rsid w:val="002E622B"/>
    <w:rsid w:val="002E6269"/>
    <w:rsid w:val="002E6548"/>
    <w:rsid w:val="002F040D"/>
    <w:rsid w:val="002F0601"/>
    <w:rsid w:val="002F07A0"/>
    <w:rsid w:val="002F0B47"/>
    <w:rsid w:val="002F0B78"/>
    <w:rsid w:val="002F0DA5"/>
    <w:rsid w:val="002F0E61"/>
    <w:rsid w:val="002F1634"/>
    <w:rsid w:val="002F1A43"/>
    <w:rsid w:val="002F3668"/>
    <w:rsid w:val="002F55EC"/>
    <w:rsid w:val="002F565F"/>
    <w:rsid w:val="002F6386"/>
    <w:rsid w:val="002F63EB"/>
    <w:rsid w:val="002F66C7"/>
    <w:rsid w:val="003002CA"/>
    <w:rsid w:val="0030058F"/>
    <w:rsid w:val="00300BC5"/>
    <w:rsid w:val="00301291"/>
    <w:rsid w:val="00302767"/>
    <w:rsid w:val="00302FE4"/>
    <w:rsid w:val="00304467"/>
    <w:rsid w:val="00304950"/>
    <w:rsid w:val="00304C45"/>
    <w:rsid w:val="0030561A"/>
    <w:rsid w:val="003058DF"/>
    <w:rsid w:val="00306004"/>
    <w:rsid w:val="0030612C"/>
    <w:rsid w:val="00306AC6"/>
    <w:rsid w:val="00306C3D"/>
    <w:rsid w:val="0030769C"/>
    <w:rsid w:val="00307DD5"/>
    <w:rsid w:val="00307EDA"/>
    <w:rsid w:val="00310221"/>
    <w:rsid w:val="00310CC6"/>
    <w:rsid w:val="00311992"/>
    <w:rsid w:val="00313192"/>
    <w:rsid w:val="00313233"/>
    <w:rsid w:val="00313A5F"/>
    <w:rsid w:val="00314483"/>
    <w:rsid w:val="00314AED"/>
    <w:rsid w:val="00315959"/>
    <w:rsid w:val="0031643C"/>
    <w:rsid w:val="003170C5"/>
    <w:rsid w:val="00317469"/>
    <w:rsid w:val="00317BB2"/>
    <w:rsid w:val="00317D11"/>
    <w:rsid w:val="00320278"/>
    <w:rsid w:val="0032028A"/>
    <w:rsid w:val="00320862"/>
    <w:rsid w:val="00320B7E"/>
    <w:rsid w:val="00320EED"/>
    <w:rsid w:val="003224ED"/>
    <w:rsid w:val="003233A1"/>
    <w:rsid w:val="00323A98"/>
    <w:rsid w:val="00323C96"/>
    <w:rsid w:val="00324150"/>
    <w:rsid w:val="0032499D"/>
    <w:rsid w:val="003256CA"/>
    <w:rsid w:val="00325809"/>
    <w:rsid w:val="003261B8"/>
    <w:rsid w:val="00326B87"/>
    <w:rsid w:val="00326D42"/>
    <w:rsid w:val="0033007A"/>
    <w:rsid w:val="0033017E"/>
    <w:rsid w:val="003308C0"/>
    <w:rsid w:val="00330CB4"/>
    <w:rsid w:val="003322E8"/>
    <w:rsid w:val="00332359"/>
    <w:rsid w:val="00333CD0"/>
    <w:rsid w:val="003372FD"/>
    <w:rsid w:val="003378DE"/>
    <w:rsid w:val="00337EB4"/>
    <w:rsid w:val="00340977"/>
    <w:rsid w:val="003414CE"/>
    <w:rsid w:val="00342508"/>
    <w:rsid w:val="00342AD3"/>
    <w:rsid w:val="00342B04"/>
    <w:rsid w:val="00342D3F"/>
    <w:rsid w:val="0034350E"/>
    <w:rsid w:val="00343CF9"/>
    <w:rsid w:val="003441B6"/>
    <w:rsid w:val="00345B05"/>
    <w:rsid w:val="00346075"/>
    <w:rsid w:val="003464D2"/>
    <w:rsid w:val="00346C95"/>
    <w:rsid w:val="00347E6D"/>
    <w:rsid w:val="003504FC"/>
    <w:rsid w:val="0035053A"/>
    <w:rsid w:val="003505C7"/>
    <w:rsid w:val="003506DB"/>
    <w:rsid w:val="0035104C"/>
    <w:rsid w:val="00353161"/>
    <w:rsid w:val="00353180"/>
    <w:rsid w:val="00353DA7"/>
    <w:rsid w:val="003553AF"/>
    <w:rsid w:val="00355757"/>
    <w:rsid w:val="00357328"/>
    <w:rsid w:val="00357632"/>
    <w:rsid w:val="00360149"/>
    <w:rsid w:val="003606B6"/>
    <w:rsid w:val="0036083E"/>
    <w:rsid w:val="00361CAE"/>
    <w:rsid w:val="003621BD"/>
    <w:rsid w:val="0036230E"/>
    <w:rsid w:val="0036419E"/>
    <w:rsid w:val="0036574D"/>
    <w:rsid w:val="00366301"/>
    <w:rsid w:val="00367039"/>
    <w:rsid w:val="0036712E"/>
    <w:rsid w:val="003678C7"/>
    <w:rsid w:val="00367EE8"/>
    <w:rsid w:val="00371049"/>
    <w:rsid w:val="003712CE"/>
    <w:rsid w:val="00371703"/>
    <w:rsid w:val="00371CE2"/>
    <w:rsid w:val="003733E1"/>
    <w:rsid w:val="00374656"/>
    <w:rsid w:val="00375C27"/>
    <w:rsid w:val="00375DE2"/>
    <w:rsid w:val="00376D7A"/>
    <w:rsid w:val="003779AD"/>
    <w:rsid w:val="003807C5"/>
    <w:rsid w:val="00382C2F"/>
    <w:rsid w:val="003834CB"/>
    <w:rsid w:val="00384BD2"/>
    <w:rsid w:val="0038693E"/>
    <w:rsid w:val="00386CA9"/>
    <w:rsid w:val="00387049"/>
    <w:rsid w:val="00387E97"/>
    <w:rsid w:val="00390A66"/>
    <w:rsid w:val="0039198E"/>
    <w:rsid w:val="00392EBE"/>
    <w:rsid w:val="003930A5"/>
    <w:rsid w:val="0039486C"/>
    <w:rsid w:val="00394A3A"/>
    <w:rsid w:val="00394B5F"/>
    <w:rsid w:val="00394EAE"/>
    <w:rsid w:val="0039602F"/>
    <w:rsid w:val="00396038"/>
    <w:rsid w:val="00397319"/>
    <w:rsid w:val="00397502"/>
    <w:rsid w:val="00397507"/>
    <w:rsid w:val="003A00B5"/>
    <w:rsid w:val="003A116F"/>
    <w:rsid w:val="003A1365"/>
    <w:rsid w:val="003A1643"/>
    <w:rsid w:val="003A2834"/>
    <w:rsid w:val="003A29BE"/>
    <w:rsid w:val="003A2CAD"/>
    <w:rsid w:val="003A30BF"/>
    <w:rsid w:val="003A3202"/>
    <w:rsid w:val="003A33C4"/>
    <w:rsid w:val="003A3428"/>
    <w:rsid w:val="003A499E"/>
    <w:rsid w:val="003A4F53"/>
    <w:rsid w:val="003A507A"/>
    <w:rsid w:val="003A59D1"/>
    <w:rsid w:val="003A5DF0"/>
    <w:rsid w:val="003A7330"/>
    <w:rsid w:val="003A7E17"/>
    <w:rsid w:val="003A7ED7"/>
    <w:rsid w:val="003B0429"/>
    <w:rsid w:val="003B0A28"/>
    <w:rsid w:val="003B161F"/>
    <w:rsid w:val="003B1795"/>
    <w:rsid w:val="003B1E00"/>
    <w:rsid w:val="003B2768"/>
    <w:rsid w:val="003B2A2E"/>
    <w:rsid w:val="003B2A61"/>
    <w:rsid w:val="003B32D7"/>
    <w:rsid w:val="003B33A7"/>
    <w:rsid w:val="003B3681"/>
    <w:rsid w:val="003B4056"/>
    <w:rsid w:val="003B4DDD"/>
    <w:rsid w:val="003B4ECC"/>
    <w:rsid w:val="003B6343"/>
    <w:rsid w:val="003B68F2"/>
    <w:rsid w:val="003B6E20"/>
    <w:rsid w:val="003B7104"/>
    <w:rsid w:val="003B7846"/>
    <w:rsid w:val="003B7CA5"/>
    <w:rsid w:val="003C1322"/>
    <w:rsid w:val="003C29AD"/>
    <w:rsid w:val="003C2DB8"/>
    <w:rsid w:val="003C33ED"/>
    <w:rsid w:val="003C4503"/>
    <w:rsid w:val="003C46C8"/>
    <w:rsid w:val="003C5346"/>
    <w:rsid w:val="003C5786"/>
    <w:rsid w:val="003C5A58"/>
    <w:rsid w:val="003C606D"/>
    <w:rsid w:val="003C6136"/>
    <w:rsid w:val="003C6899"/>
    <w:rsid w:val="003C68E7"/>
    <w:rsid w:val="003C7CA6"/>
    <w:rsid w:val="003D020E"/>
    <w:rsid w:val="003D0B9E"/>
    <w:rsid w:val="003D0BA3"/>
    <w:rsid w:val="003D189D"/>
    <w:rsid w:val="003D28E1"/>
    <w:rsid w:val="003D2E4A"/>
    <w:rsid w:val="003D37D5"/>
    <w:rsid w:val="003D4073"/>
    <w:rsid w:val="003D48E3"/>
    <w:rsid w:val="003D5A6B"/>
    <w:rsid w:val="003D5B74"/>
    <w:rsid w:val="003D63B2"/>
    <w:rsid w:val="003D7C71"/>
    <w:rsid w:val="003E27E5"/>
    <w:rsid w:val="003E355F"/>
    <w:rsid w:val="003E37E6"/>
    <w:rsid w:val="003E3959"/>
    <w:rsid w:val="003E3B74"/>
    <w:rsid w:val="003E47AD"/>
    <w:rsid w:val="003E48C4"/>
    <w:rsid w:val="003E4C49"/>
    <w:rsid w:val="003E5013"/>
    <w:rsid w:val="003E50A5"/>
    <w:rsid w:val="003E788C"/>
    <w:rsid w:val="003F0285"/>
    <w:rsid w:val="003F02F0"/>
    <w:rsid w:val="003F03BB"/>
    <w:rsid w:val="003F0FE7"/>
    <w:rsid w:val="003F1C0A"/>
    <w:rsid w:val="003F1CA4"/>
    <w:rsid w:val="003F2774"/>
    <w:rsid w:val="003F342D"/>
    <w:rsid w:val="003F3B15"/>
    <w:rsid w:val="003F43D2"/>
    <w:rsid w:val="003F52E3"/>
    <w:rsid w:val="003F5F5B"/>
    <w:rsid w:val="003F6522"/>
    <w:rsid w:val="003F78BE"/>
    <w:rsid w:val="00400735"/>
    <w:rsid w:val="00401448"/>
    <w:rsid w:val="00401760"/>
    <w:rsid w:val="0040181D"/>
    <w:rsid w:val="004018A1"/>
    <w:rsid w:val="00401E24"/>
    <w:rsid w:val="00401E50"/>
    <w:rsid w:val="00401E88"/>
    <w:rsid w:val="00401F25"/>
    <w:rsid w:val="004025F2"/>
    <w:rsid w:val="00402CCF"/>
    <w:rsid w:val="004046E0"/>
    <w:rsid w:val="004049EF"/>
    <w:rsid w:val="00406957"/>
    <w:rsid w:val="00406A97"/>
    <w:rsid w:val="00407F40"/>
    <w:rsid w:val="00410074"/>
    <w:rsid w:val="0041113D"/>
    <w:rsid w:val="00411775"/>
    <w:rsid w:val="00411F79"/>
    <w:rsid w:val="00412FB7"/>
    <w:rsid w:val="0041356D"/>
    <w:rsid w:val="004137ED"/>
    <w:rsid w:val="00414090"/>
    <w:rsid w:val="0041498B"/>
    <w:rsid w:val="00414C1A"/>
    <w:rsid w:val="00414CF7"/>
    <w:rsid w:val="00415654"/>
    <w:rsid w:val="0041665A"/>
    <w:rsid w:val="00416FCD"/>
    <w:rsid w:val="004202EA"/>
    <w:rsid w:val="004208FD"/>
    <w:rsid w:val="004212DA"/>
    <w:rsid w:val="00422F56"/>
    <w:rsid w:val="00423C74"/>
    <w:rsid w:val="004248F9"/>
    <w:rsid w:val="00424A01"/>
    <w:rsid w:val="0042542C"/>
    <w:rsid w:val="00425D20"/>
    <w:rsid w:val="00426207"/>
    <w:rsid w:val="0042684F"/>
    <w:rsid w:val="00427A08"/>
    <w:rsid w:val="00430007"/>
    <w:rsid w:val="0043010D"/>
    <w:rsid w:val="00430695"/>
    <w:rsid w:val="004307A1"/>
    <w:rsid w:val="00430F8A"/>
    <w:rsid w:val="0043115F"/>
    <w:rsid w:val="0043179C"/>
    <w:rsid w:val="00431949"/>
    <w:rsid w:val="0043217A"/>
    <w:rsid w:val="00432225"/>
    <w:rsid w:val="00432AC7"/>
    <w:rsid w:val="00432B02"/>
    <w:rsid w:val="00435959"/>
    <w:rsid w:val="00435B32"/>
    <w:rsid w:val="0043633E"/>
    <w:rsid w:val="00437106"/>
    <w:rsid w:val="00437941"/>
    <w:rsid w:val="00440AF6"/>
    <w:rsid w:val="00440B50"/>
    <w:rsid w:val="004416DE"/>
    <w:rsid w:val="00442E41"/>
    <w:rsid w:val="00443351"/>
    <w:rsid w:val="00443801"/>
    <w:rsid w:val="00444161"/>
    <w:rsid w:val="00444928"/>
    <w:rsid w:val="0044499B"/>
    <w:rsid w:val="00444A10"/>
    <w:rsid w:val="00444AC3"/>
    <w:rsid w:val="00445CD4"/>
    <w:rsid w:val="00445FBF"/>
    <w:rsid w:val="004461DB"/>
    <w:rsid w:val="004464D7"/>
    <w:rsid w:val="00446739"/>
    <w:rsid w:val="00446F88"/>
    <w:rsid w:val="00447735"/>
    <w:rsid w:val="00447E0B"/>
    <w:rsid w:val="00450222"/>
    <w:rsid w:val="004505CB"/>
    <w:rsid w:val="004509DB"/>
    <w:rsid w:val="004537D8"/>
    <w:rsid w:val="00453D38"/>
    <w:rsid w:val="00454735"/>
    <w:rsid w:val="00455B51"/>
    <w:rsid w:val="00455FC9"/>
    <w:rsid w:val="0045604E"/>
    <w:rsid w:val="00456DAF"/>
    <w:rsid w:val="004571CA"/>
    <w:rsid w:val="00457371"/>
    <w:rsid w:val="00460942"/>
    <w:rsid w:val="00461262"/>
    <w:rsid w:val="00461FC5"/>
    <w:rsid w:val="004627D5"/>
    <w:rsid w:val="0046312E"/>
    <w:rsid w:val="004632A0"/>
    <w:rsid w:val="00466748"/>
    <w:rsid w:val="00466AAA"/>
    <w:rsid w:val="004675D4"/>
    <w:rsid w:val="004701E9"/>
    <w:rsid w:val="004714C8"/>
    <w:rsid w:val="00471DC1"/>
    <w:rsid w:val="00472C80"/>
    <w:rsid w:val="00472CBD"/>
    <w:rsid w:val="00473AA2"/>
    <w:rsid w:val="00473B5F"/>
    <w:rsid w:val="0047441F"/>
    <w:rsid w:val="00474D4D"/>
    <w:rsid w:val="00475676"/>
    <w:rsid w:val="004756A0"/>
    <w:rsid w:val="004757C3"/>
    <w:rsid w:val="00475D36"/>
    <w:rsid w:val="004767C7"/>
    <w:rsid w:val="00476F9D"/>
    <w:rsid w:val="00477F99"/>
    <w:rsid w:val="004805A0"/>
    <w:rsid w:val="004808E2"/>
    <w:rsid w:val="00480A2D"/>
    <w:rsid w:val="00481748"/>
    <w:rsid w:val="004818EB"/>
    <w:rsid w:val="00481C8E"/>
    <w:rsid w:val="00481CC3"/>
    <w:rsid w:val="00482BC1"/>
    <w:rsid w:val="00484454"/>
    <w:rsid w:val="0048480B"/>
    <w:rsid w:val="00484A8E"/>
    <w:rsid w:val="00484ED8"/>
    <w:rsid w:val="00485C06"/>
    <w:rsid w:val="00486657"/>
    <w:rsid w:val="00486D13"/>
    <w:rsid w:val="0048701A"/>
    <w:rsid w:val="00487376"/>
    <w:rsid w:val="0049076B"/>
    <w:rsid w:val="0049078F"/>
    <w:rsid w:val="00490D89"/>
    <w:rsid w:val="0049145A"/>
    <w:rsid w:val="004919CD"/>
    <w:rsid w:val="00492A98"/>
    <w:rsid w:val="00493107"/>
    <w:rsid w:val="00493D0A"/>
    <w:rsid w:val="00494A2D"/>
    <w:rsid w:val="00495149"/>
    <w:rsid w:val="0049552A"/>
    <w:rsid w:val="004956FD"/>
    <w:rsid w:val="00496866"/>
    <w:rsid w:val="00496A33"/>
    <w:rsid w:val="00496D95"/>
    <w:rsid w:val="00497A24"/>
    <w:rsid w:val="00497C51"/>
    <w:rsid w:val="004A08A5"/>
    <w:rsid w:val="004A0C4A"/>
    <w:rsid w:val="004A1678"/>
    <w:rsid w:val="004A1D46"/>
    <w:rsid w:val="004A1FA5"/>
    <w:rsid w:val="004A26F8"/>
    <w:rsid w:val="004A39E8"/>
    <w:rsid w:val="004A3CDA"/>
    <w:rsid w:val="004A4CD6"/>
    <w:rsid w:val="004A546C"/>
    <w:rsid w:val="004A673C"/>
    <w:rsid w:val="004A6897"/>
    <w:rsid w:val="004A6DA6"/>
    <w:rsid w:val="004A709E"/>
    <w:rsid w:val="004A733B"/>
    <w:rsid w:val="004A7384"/>
    <w:rsid w:val="004B052E"/>
    <w:rsid w:val="004B101C"/>
    <w:rsid w:val="004B27DF"/>
    <w:rsid w:val="004B2A70"/>
    <w:rsid w:val="004B3483"/>
    <w:rsid w:val="004B34CD"/>
    <w:rsid w:val="004B41A0"/>
    <w:rsid w:val="004B46F2"/>
    <w:rsid w:val="004B4836"/>
    <w:rsid w:val="004B4D17"/>
    <w:rsid w:val="004B532F"/>
    <w:rsid w:val="004B5D5A"/>
    <w:rsid w:val="004B6364"/>
    <w:rsid w:val="004B6F75"/>
    <w:rsid w:val="004B7314"/>
    <w:rsid w:val="004C08F1"/>
    <w:rsid w:val="004C0C20"/>
    <w:rsid w:val="004C1192"/>
    <w:rsid w:val="004C22ED"/>
    <w:rsid w:val="004C2FD7"/>
    <w:rsid w:val="004C4292"/>
    <w:rsid w:val="004C461A"/>
    <w:rsid w:val="004C4B45"/>
    <w:rsid w:val="004C4D7B"/>
    <w:rsid w:val="004C6263"/>
    <w:rsid w:val="004C6526"/>
    <w:rsid w:val="004C6CE5"/>
    <w:rsid w:val="004C779F"/>
    <w:rsid w:val="004D1BB2"/>
    <w:rsid w:val="004D20B5"/>
    <w:rsid w:val="004D234E"/>
    <w:rsid w:val="004D240F"/>
    <w:rsid w:val="004D2C70"/>
    <w:rsid w:val="004D32E7"/>
    <w:rsid w:val="004D37F2"/>
    <w:rsid w:val="004D38B9"/>
    <w:rsid w:val="004D3E61"/>
    <w:rsid w:val="004D4DE8"/>
    <w:rsid w:val="004D5372"/>
    <w:rsid w:val="004D5739"/>
    <w:rsid w:val="004D578D"/>
    <w:rsid w:val="004D5E3A"/>
    <w:rsid w:val="004D5F0A"/>
    <w:rsid w:val="004D6825"/>
    <w:rsid w:val="004D6C7F"/>
    <w:rsid w:val="004D6C8C"/>
    <w:rsid w:val="004D7496"/>
    <w:rsid w:val="004D74D5"/>
    <w:rsid w:val="004D7687"/>
    <w:rsid w:val="004D7900"/>
    <w:rsid w:val="004D7D57"/>
    <w:rsid w:val="004E133A"/>
    <w:rsid w:val="004E171E"/>
    <w:rsid w:val="004E1ED4"/>
    <w:rsid w:val="004E2206"/>
    <w:rsid w:val="004E3352"/>
    <w:rsid w:val="004E3D7B"/>
    <w:rsid w:val="004E44BB"/>
    <w:rsid w:val="004E4554"/>
    <w:rsid w:val="004E624C"/>
    <w:rsid w:val="004E6C8C"/>
    <w:rsid w:val="004E7054"/>
    <w:rsid w:val="004E757C"/>
    <w:rsid w:val="004E7E3F"/>
    <w:rsid w:val="004F0138"/>
    <w:rsid w:val="004F191D"/>
    <w:rsid w:val="004F1E54"/>
    <w:rsid w:val="004F2D6C"/>
    <w:rsid w:val="004F3B4F"/>
    <w:rsid w:val="004F52AB"/>
    <w:rsid w:val="004F562D"/>
    <w:rsid w:val="004F5D5B"/>
    <w:rsid w:val="004F60E0"/>
    <w:rsid w:val="004F63CA"/>
    <w:rsid w:val="004F6E41"/>
    <w:rsid w:val="004F7448"/>
    <w:rsid w:val="004F7B72"/>
    <w:rsid w:val="004F7CD6"/>
    <w:rsid w:val="004F7D65"/>
    <w:rsid w:val="004F7EE1"/>
    <w:rsid w:val="00502B9A"/>
    <w:rsid w:val="00503059"/>
    <w:rsid w:val="00503C59"/>
    <w:rsid w:val="00503D13"/>
    <w:rsid w:val="005044B1"/>
    <w:rsid w:val="00504829"/>
    <w:rsid w:val="0050490F"/>
    <w:rsid w:val="005055D3"/>
    <w:rsid w:val="00505A47"/>
    <w:rsid w:val="005072A6"/>
    <w:rsid w:val="00507822"/>
    <w:rsid w:val="00510767"/>
    <w:rsid w:val="005108AD"/>
    <w:rsid w:val="005109E7"/>
    <w:rsid w:val="0051183D"/>
    <w:rsid w:val="00511AAE"/>
    <w:rsid w:val="0051257D"/>
    <w:rsid w:val="00515451"/>
    <w:rsid w:val="00515553"/>
    <w:rsid w:val="005162A4"/>
    <w:rsid w:val="0051642E"/>
    <w:rsid w:val="00516C29"/>
    <w:rsid w:val="005178B6"/>
    <w:rsid w:val="00517A70"/>
    <w:rsid w:val="00517E7C"/>
    <w:rsid w:val="00520302"/>
    <w:rsid w:val="005217F4"/>
    <w:rsid w:val="00521E8F"/>
    <w:rsid w:val="0052230F"/>
    <w:rsid w:val="00522BC7"/>
    <w:rsid w:val="005234FC"/>
    <w:rsid w:val="00524497"/>
    <w:rsid w:val="00524598"/>
    <w:rsid w:val="005248AD"/>
    <w:rsid w:val="00525540"/>
    <w:rsid w:val="0052583A"/>
    <w:rsid w:val="00525FD8"/>
    <w:rsid w:val="0052636D"/>
    <w:rsid w:val="005263FA"/>
    <w:rsid w:val="00526598"/>
    <w:rsid w:val="00526C70"/>
    <w:rsid w:val="00527928"/>
    <w:rsid w:val="00527D56"/>
    <w:rsid w:val="00530989"/>
    <w:rsid w:val="00531016"/>
    <w:rsid w:val="00531C11"/>
    <w:rsid w:val="0053234F"/>
    <w:rsid w:val="00532387"/>
    <w:rsid w:val="005333E9"/>
    <w:rsid w:val="005334BF"/>
    <w:rsid w:val="0053352F"/>
    <w:rsid w:val="005345BE"/>
    <w:rsid w:val="00534C1F"/>
    <w:rsid w:val="00534CD0"/>
    <w:rsid w:val="00536319"/>
    <w:rsid w:val="00540C48"/>
    <w:rsid w:val="0054113F"/>
    <w:rsid w:val="00541B7F"/>
    <w:rsid w:val="0054369D"/>
    <w:rsid w:val="005436E6"/>
    <w:rsid w:val="005438E6"/>
    <w:rsid w:val="005448F4"/>
    <w:rsid w:val="0054491E"/>
    <w:rsid w:val="00544970"/>
    <w:rsid w:val="005454B5"/>
    <w:rsid w:val="00546301"/>
    <w:rsid w:val="0054646E"/>
    <w:rsid w:val="00546566"/>
    <w:rsid w:val="005477F8"/>
    <w:rsid w:val="005502A2"/>
    <w:rsid w:val="00550520"/>
    <w:rsid w:val="005518DF"/>
    <w:rsid w:val="00551FA6"/>
    <w:rsid w:val="00552395"/>
    <w:rsid w:val="00552643"/>
    <w:rsid w:val="00552C97"/>
    <w:rsid w:val="005530B4"/>
    <w:rsid w:val="00553485"/>
    <w:rsid w:val="00553FE6"/>
    <w:rsid w:val="00555052"/>
    <w:rsid w:val="00555608"/>
    <w:rsid w:val="00555890"/>
    <w:rsid w:val="00555920"/>
    <w:rsid w:val="00555DAC"/>
    <w:rsid w:val="00555E79"/>
    <w:rsid w:val="00557FA6"/>
    <w:rsid w:val="0056023F"/>
    <w:rsid w:val="005604F4"/>
    <w:rsid w:val="00560B90"/>
    <w:rsid w:val="00561653"/>
    <w:rsid w:val="00561971"/>
    <w:rsid w:val="00561C92"/>
    <w:rsid w:val="005620CC"/>
    <w:rsid w:val="00563128"/>
    <w:rsid w:val="005646E3"/>
    <w:rsid w:val="00564711"/>
    <w:rsid w:val="005657F7"/>
    <w:rsid w:val="00566063"/>
    <w:rsid w:val="005666D8"/>
    <w:rsid w:val="00566D09"/>
    <w:rsid w:val="00567C9F"/>
    <w:rsid w:val="00570DB3"/>
    <w:rsid w:val="00570F20"/>
    <w:rsid w:val="005711AB"/>
    <w:rsid w:val="00571233"/>
    <w:rsid w:val="00571D0A"/>
    <w:rsid w:val="005729E0"/>
    <w:rsid w:val="0057404B"/>
    <w:rsid w:val="005743D3"/>
    <w:rsid w:val="00575B4C"/>
    <w:rsid w:val="00575CF1"/>
    <w:rsid w:val="0057625C"/>
    <w:rsid w:val="00576405"/>
    <w:rsid w:val="00577DF4"/>
    <w:rsid w:val="00581C8E"/>
    <w:rsid w:val="00582263"/>
    <w:rsid w:val="00582C10"/>
    <w:rsid w:val="005832E6"/>
    <w:rsid w:val="005836BF"/>
    <w:rsid w:val="0058395A"/>
    <w:rsid w:val="00584266"/>
    <w:rsid w:val="00584A38"/>
    <w:rsid w:val="00584FA0"/>
    <w:rsid w:val="00585347"/>
    <w:rsid w:val="00585E09"/>
    <w:rsid w:val="00585E9B"/>
    <w:rsid w:val="00585F23"/>
    <w:rsid w:val="00586C85"/>
    <w:rsid w:val="005872B6"/>
    <w:rsid w:val="00587BB3"/>
    <w:rsid w:val="005901C4"/>
    <w:rsid w:val="00590D34"/>
    <w:rsid w:val="0059125B"/>
    <w:rsid w:val="00591A33"/>
    <w:rsid w:val="00591D5D"/>
    <w:rsid w:val="00591E66"/>
    <w:rsid w:val="00592825"/>
    <w:rsid w:val="00592959"/>
    <w:rsid w:val="00593C44"/>
    <w:rsid w:val="00593E42"/>
    <w:rsid w:val="00594B85"/>
    <w:rsid w:val="00595379"/>
    <w:rsid w:val="005954FD"/>
    <w:rsid w:val="005956C0"/>
    <w:rsid w:val="00595766"/>
    <w:rsid w:val="00595D45"/>
    <w:rsid w:val="005965E3"/>
    <w:rsid w:val="00596C90"/>
    <w:rsid w:val="0059748B"/>
    <w:rsid w:val="005A2264"/>
    <w:rsid w:val="005A245C"/>
    <w:rsid w:val="005A32CC"/>
    <w:rsid w:val="005A43A4"/>
    <w:rsid w:val="005A4528"/>
    <w:rsid w:val="005A483F"/>
    <w:rsid w:val="005A512B"/>
    <w:rsid w:val="005A5409"/>
    <w:rsid w:val="005A667F"/>
    <w:rsid w:val="005A66B3"/>
    <w:rsid w:val="005A6ABF"/>
    <w:rsid w:val="005A7E1B"/>
    <w:rsid w:val="005B013C"/>
    <w:rsid w:val="005B0FBE"/>
    <w:rsid w:val="005B1030"/>
    <w:rsid w:val="005B109B"/>
    <w:rsid w:val="005B18F5"/>
    <w:rsid w:val="005B1EF4"/>
    <w:rsid w:val="005B23FF"/>
    <w:rsid w:val="005B3A88"/>
    <w:rsid w:val="005B4072"/>
    <w:rsid w:val="005B4316"/>
    <w:rsid w:val="005B4C69"/>
    <w:rsid w:val="005B4DAF"/>
    <w:rsid w:val="005B4DD4"/>
    <w:rsid w:val="005B4F6D"/>
    <w:rsid w:val="005B6325"/>
    <w:rsid w:val="005B6891"/>
    <w:rsid w:val="005B6B70"/>
    <w:rsid w:val="005B6E43"/>
    <w:rsid w:val="005B701C"/>
    <w:rsid w:val="005B7B30"/>
    <w:rsid w:val="005C0040"/>
    <w:rsid w:val="005C04A5"/>
    <w:rsid w:val="005C06D2"/>
    <w:rsid w:val="005C083D"/>
    <w:rsid w:val="005C0E06"/>
    <w:rsid w:val="005C1000"/>
    <w:rsid w:val="005C1C87"/>
    <w:rsid w:val="005C211B"/>
    <w:rsid w:val="005C2EB6"/>
    <w:rsid w:val="005C301B"/>
    <w:rsid w:val="005C3345"/>
    <w:rsid w:val="005C4CBB"/>
    <w:rsid w:val="005C5828"/>
    <w:rsid w:val="005C5C15"/>
    <w:rsid w:val="005C5C7B"/>
    <w:rsid w:val="005C6E24"/>
    <w:rsid w:val="005C7955"/>
    <w:rsid w:val="005D0422"/>
    <w:rsid w:val="005D0D1E"/>
    <w:rsid w:val="005D122C"/>
    <w:rsid w:val="005D1523"/>
    <w:rsid w:val="005D1B2A"/>
    <w:rsid w:val="005D1C0E"/>
    <w:rsid w:val="005D213F"/>
    <w:rsid w:val="005D2C1C"/>
    <w:rsid w:val="005D31C2"/>
    <w:rsid w:val="005D3F40"/>
    <w:rsid w:val="005D44F7"/>
    <w:rsid w:val="005D459F"/>
    <w:rsid w:val="005D4A80"/>
    <w:rsid w:val="005D650C"/>
    <w:rsid w:val="005D7CB2"/>
    <w:rsid w:val="005E0319"/>
    <w:rsid w:val="005E0399"/>
    <w:rsid w:val="005E0474"/>
    <w:rsid w:val="005E1037"/>
    <w:rsid w:val="005E1267"/>
    <w:rsid w:val="005E1578"/>
    <w:rsid w:val="005E17A3"/>
    <w:rsid w:val="005E2C77"/>
    <w:rsid w:val="005E3900"/>
    <w:rsid w:val="005E479A"/>
    <w:rsid w:val="005E53D5"/>
    <w:rsid w:val="005E548C"/>
    <w:rsid w:val="005E59BC"/>
    <w:rsid w:val="005E5E36"/>
    <w:rsid w:val="005E67C3"/>
    <w:rsid w:val="005E68FA"/>
    <w:rsid w:val="005E6F46"/>
    <w:rsid w:val="005E7F59"/>
    <w:rsid w:val="005F018C"/>
    <w:rsid w:val="005F09D5"/>
    <w:rsid w:val="005F1192"/>
    <w:rsid w:val="005F1758"/>
    <w:rsid w:val="005F1B00"/>
    <w:rsid w:val="005F24F6"/>
    <w:rsid w:val="005F2819"/>
    <w:rsid w:val="005F2D08"/>
    <w:rsid w:val="005F326F"/>
    <w:rsid w:val="005F5245"/>
    <w:rsid w:val="005F59BB"/>
    <w:rsid w:val="005F5D28"/>
    <w:rsid w:val="006003FB"/>
    <w:rsid w:val="00600BA0"/>
    <w:rsid w:val="00603D0A"/>
    <w:rsid w:val="00605AD1"/>
    <w:rsid w:val="00607350"/>
    <w:rsid w:val="00610800"/>
    <w:rsid w:val="00611938"/>
    <w:rsid w:val="00611AAC"/>
    <w:rsid w:val="00612491"/>
    <w:rsid w:val="0061252C"/>
    <w:rsid w:val="00612742"/>
    <w:rsid w:val="00613CFC"/>
    <w:rsid w:val="0061416D"/>
    <w:rsid w:val="0061463F"/>
    <w:rsid w:val="00614AA6"/>
    <w:rsid w:val="00614E1D"/>
    <w:rsid w:val="00614EA6"/>
    <w:rsid w:val="00614F58"/>
    <w:rsid w:val="0061525A"/>
    <w:rsid w:val="00615BDA"/>
    <w:rsid w:val="00616265"/>
    <w:rsid w:val="006165F3"/>
    <w:rsid w:val="00616E43"/>
    <w:rsid w:val="00620694"/>
    <w:rsid w:val="00620892"/>
    <w:rsid w:val="0062098B"/>
    <w:rsid w:val="00620F35"/>
    <w:rsid w:val="0062133F"/>
    <w:rsid w:val="006214BD"/>
    <w:rsid w:val="006217DF"/>
    <w:rsid w:val="00621DF1"/>
    <w:rsid w:val="00623288"/>
    <w:rsid w:val="00623817"/>
    <w:rsid w:val="00623CA1"/>
    <w:rsid w:val="00623E7E"/>
    <w:rsid w:val="006247C0"/>
    <w:rsid w:val="00625082"/>
    <w:rsid w:val="00626A23"/>
    <w:rsid w:val="00626B63"/>
    <w:rsid w:val="006273C9"/>
    <w:rsid w:val="0062740D"/>
    <w:rsid w:val="006276F3"/>
    <w:rsid w:val="00627BA4"/>
    <w:rsid w:val="00627CBB"/>
    <w:rsid w:val="006308F2"/>
    <w:rsid w:val="00630B1E"/>
    <w:rsid w:val="00630B77"/>
    <w:rsid w:val="00630E2C"/>
    <w:rsid w:val="00631C16"/>
    <w:rsid w:val="0063208D"/>
    <w:rsid w:val="00633B81"/>
    <w:rsid w:val="0063475A"/>
    <w:rsid w:val="00636D66"/>
    <w:rsid w:val="006377C3"/>
    <w:rsid w:val="00640362"/>
    <w:rsid w:val="00640501"/>
    <w:rsid w:val="00641404"/>
    <w:rsid w:val="00641F74"/>
    <w:rsid w:val="006420FD"/>
    <w:rsid w:val="00642179"/>
    <w:rsid w:val="006426DC"/>
    <w:rsid w:val="00642A91"/>
    <w:rsid w:val="00642DF1"/>
    <w:rsid w:val="00642F73"/>
    <w:rsid w:val="006430FC"/>
    <w:rsid w:val="006433AA"/>
    <w:rsid w:val="00643D80"/>
    <w:rsid w:val="006443B9"/>
    <w:rsid w:val="0064509B"/>
    <w:rsid w:val="006459E9"/>
    <w:rsid w:val="00646792"/>
    <w:rsid w:val="00646A2D"/>
    <w:rsid w:val="006471A4"/>
    <w:rsid w:val="006475D5"/>
    <w:rsid w:val="0064789B"/>
    <w:rsid w:val="00647E45"/>
    <w:rsid w:val="00650636"/>
    <w:rsid w:val="00650ADF"/>
    <w:rsid w:val="00650C7E"/>
    <w:rsid w:val="00651136"/>
    <w:rsid w:val="006514A1"/>
    <w:rsid w:val="006515BF"/>
    <w:rsid w:val="006520CA"/>
    <w:rsid w:val="00653528"/>
    <w:rsid w:val="00653761"/>
    <w:rsid w:val="006537EA"/>
    <w:rsid w:val="00653A5B"/>
    <w:rsid w:val="00654B35"/>
    <w:rsid w:val="00655148"/>
    <w:rsid w:val="00655ABC"/>
    <w:rsid w:val="00655ADE"/>
    <w:rsid w:val="00655B37"/>
    <w:rsid w:val="00655BB2"/>
    <w:rsid w:val="00655C19"/>
    <w:rsid w:val="00655EC7"/>
    <w:rsid w:val="0065705D"/>
    <w:rsid w:val="00657AEF"/>
    <w:rsid w:val="00657ED2"/>
    <w:rsid w:val="006604F6"/>
    <w:rsid w:val="0066162F"/>
    <w:rsid w:val="00661B0A"/>
    <w:rsid w:val="00661B95"/>
    <w:rsid w:val="00661CAD"/>
    <w:rsid w:val="00662181"/>
    <w:rsid w:val="0066221C"/>
    <w:rsid w:val="00662576"/>
    <w:rsid w:val="00662701"/>
    <w:rsid w:val="00663606"/>
    <w:rsid w:val="00663AE9"/>
    <w:rsid w:val="00664184"/>
    <w:rsid w:val="00664769"/>
    <w:rsid w:val="00664FAD"/>
    <w:rsid w:val="006652F0"/>
    <w:rsid w:val="00665347"/>
    <w:rsid w:val="00665AD8"/>
    <w:rsid w:val="00665BC9"/>
    <w:rsid w:val="00665F96"/>
    <w:rsid w:val="00666B8E"/>
    <w:rsid w:val="0066736E"/>
    <w:rsid w:val="00667B66"/>
    <w:rsid w:val="00667D43"/>
    <w:rsid w:val="00670264"/>
    <w:rsid w:val="006707A1"/>
    <w:rsid w:val="00670A6A"/>
    <w:rsid w:val="00671828"/>
    <w:rsid w:val="0067465D"/>
    <w:rsid w:val="00674B1E"/>
    <w:rsid w:val="00674C65"/>
    <w:rsid w:val="0067514C"/>
    <w:rsid w:val="00676111"/>
    <w:rsid w:val="0067616F"/>
    <w:rsid w:val="006761D9"/>
    <w:rsid w:val="00677020"/>
    <w:rsid w:val="00677DFB"/>
    <w:rsid w:val="00680064"/>
    <w:rsid w:val="006800F6"/>
    <w:rsid w:val="006826CB"/>
    <w:rsid w:val="00683164"/>
    <w:rsid w:val="00683F18"/>
    <w:rsid w:val="00685315"/>
    <w:rsid w:val="00685EF8"/>
    <w:rsid w:val="00687178"/>
    <w:rsid w:val="006872CD"/>
    <w:rsid w:val="006875FA"/>
    <w:rsid w:val="00687C34"/>
    <w:rsid w:val="006903F6"/>
    <w:rsid w:val="006905B2"/>
    <w:rsid w:val="00691A59"/>
    <w:rsid w:val="00691B46"/>
    <w:rsid w:val="0069215E"/>
    <w:rsid w:val="0069274E"/>
    <w:rsid w:val="006928DF"/>
    <w:rsid w:val="00692C1B"/>
    <w:rsid w:val="006938F1"/>
    <w:rsid w:val="00693C53"/>
    <w:rsid w:val="00695878"/>
    <w:rsid w:val="0069604A"/>
    <w:rsid w:val="00696DED"/>
    <w:rsid w:val="00697F24"/>
    <w:rsid w:val="00697F72"/>
    <w:rsid w:val="006A00D4"/>
    <w:rsid w:val="006A035C"/>
    <w:rsid w:val="006A0D14"/>
    <w:rsid w:val="006A1AAA"/>
    <w:rsid w:val="006A2106"/>
    <w:rsid w:val="006A29E8"/>
    <w:rsid w:val="006A31B3"/>
    <w:rsid w:val="006A3996"/>
    <w:rsid w:val="006A5756"/>
    <w:rsid w:val="006A5835"/>
    <w:rsid w:val="006A6F08"/>
    <w:rsid w:val="006A7193"/>
    <w:rsid w:val="006A79AC"/>
    <w:rsid w:val="006B031C"/>
    <w:rsid w:val="006B10AA"/>
    <w:rsid w:val="006B12AA"/>
    <w:rsid w:val="006B1A87"/>
    <w:rsid w:val="006B1E59"/>
    <w:rsid w:val="006B1F4A"/>
    <w:rsid w:val="006B2652"/>
    <w:rsid w:val="006B288A"/>
    <w:rsid w:val="006B3652"/>
    <w:rsid w:val="006B64FD"/>
    <w:rsid w:val="006B6F71"/>
    <w:rsid w:val="006B7547"/>
    <w:rsid w:val="006B76F1"/>
    <w:rsid w:val="006C0EEF"/>
    <w:rsid w:val="006C1C8B"/>
    <w:rsid w:val="006C2249"/>
    <w:rsid w:val="006C2782"/>
    <w:rsid w:val="006C3D33"/>
    <w:rsid w:val="006C3FD9"/>
    <w:rsid w:val="006C44BF"/>
    <w:rsid w:val="006C49DE"/>
    <w:rsid w:val="006C5CEB"/>
    <w:rsid w:val="006C6057"/>
    <w:rsid w:val="006D01D6"/>
    <w:rsid w:val="006D0A19"/>
    <w:rsid w:val="006D14CF"/>
    <w:rsid w:val="006D1545"/>
    <w:rsid w:val="006D2273"/>
    <w:rsid w:val="006D22D7"/>
    <w:rsid w:val="006D2526"/>
    <w:rsid w:val="006D3177"/>
    <w:rsid w:val="006D4FD8"/>
    <w:rsid w:val="006D4FED"/>
    <w:rsid w:val="006D535C"/>
    <w:rsid w:val="006D5409"/>
    <w:rsid w:val="006D5DD5"/>
    <w:rsid w:val="006D60C5"/>
    <w:rsid w:val="006D646E"/>
    <w:rsid w:val="006D70F5"/>
    <w:rsid w:val="006D7340"/>
    <w:rsid w:val="006D7578"/>
    <w:rsid w:val="006D75E2"/>
    <w:rsid w:val="006E2F93"/>
    <w:rsid w:val="006E3C8C"/>
    <w:rsid w:val="006E3CE8"/>
    <w:rsid w:val="006E43E1"/>
    <w:rsid w:val="006E4680"/>
    <w:rsid w:val="006E5677"/>
    <w:rsid w:val="006E593C"/>
    <w:rsid w:val="006E5F72"/>
    <w:rsid w:val="006E627F"/>
    <w:rsid w:val="006E6660"/>
    <w:rsid w:val="006E6D86"/>
    <w:rsid w:val="006E7467"/>
    <w:rsid w:val="006E7583"/>
    <w:rsid w:val="006F08B1"/>
    <w:rsid w:val="006F1B2B"/>
    <w:rsid w:val="006F2320"/>
    <w:rsid w:val="006F282F"/>
    <w:rsid w:val="006F2DF0"/>
    <w:rsid w:val="006F35F6"/>
    <w:rsid w:val="006F36D0"/>
    <w:rsid w:val="006F4C32"/>
    <w:rsid w:val="006F4F69"/>
    <w:rsid w:val="006F51E1"/>
    <w:rsid w:val="006F5676"/>
    <w:rsid w:val="006F56BC"/>
    <w:rsid w:val="006F72A5"/>
    <w:rsid w:val="007002F6"/>
    <w:rsid w:val="007009DE"/>
    <w:rsid w:val="00700A53"/>
    <w:rsid w:val="00700EAB"/>
    <w:rsid w:val="00701259"/>
    <w:rsid w:val="00702115"/>
    <w:rsid w:val="00703935"/>
    <w:rsid w:val="00703937"/>
    <w:rsid w:val="00704088"/>
    <w:rsid w:val="00704596"/>
    <w:rsid w:val="00705397"/>
    <w:rsid w:val="007063BF"/>
    <w:rsid w:val="0070779E"/>
    <w:rsid w:val="00711545"/>
    <w:rsid w:val="00712E5D"/>
    <w:rsid w:val="00713A24"/>
    <w:rsid w:val="0071456E"/>
    <w:rsid w:val="00714F9C"/>
    <w:rsid w:val="007154BE"/>
    <w:rsid w:val="00716ACC"/>
    <w:rsid w:val="00716B02"/>
    <w:rsid w:val="007173BA"/>
    <w:rsid w:val="00717D12"/>
    <w:rsid w:val="00721CAA"/>
    <w:rsid w:val="00722701"/>
    <w:rsid w:val="00722D11"/>
    <w:rsid w:val="007231DF"/>
    <w:rsid w:val="007235B8"/>
    <w:rsid w:val="00723CAF"/>
    <w:rsid w:val="00723DD0"/>
    <w:rsid w:val="0072429E"/>
    <w:rsid w:val="0072448D"/>
    <w:rsid w:val="00727610"/>
    <w:rsid w:val="0073018D"/>
    <w:rsid w:val="00730B4E"/>
    <w:rsid w:val="0073143D"/>
    <w:rsid w:val="00731BB1"/>
    <w:rsid w:val="00731BD9"/>
    <w:rsid w:val="00731D7B"/>
    <w:rsid w:val="00733379"/>
    <w:rsid w:val="00733561"/>
    <w:rsid w:val="0073428C"/>
    <w:rsid w:val="00734A82"/>
    <w:rsid w:val="007350C0"/>
    <w:rsid w:val="0073539C"/>
    <w:rsid w:val="007354FA"/>
    <w:rsid w:val="00736545"/>
    <w:rsid w:val="00737E7C"/>
    <w:rsid w:val="00740080"/>
    <w:rsid w:val="00740445"/>
    <w:rsid w:val="00740D9F"/>
    <w:rsid w:val="00741D28"/>
    <w:rsid w:val="00741EFD"/>
    <w:rsid w:val="007423BF"/>
    <w:rsid w:val="007430C6"/>
    <w:rsid w:val="00743A10"/>
    <w:rsid w:val="00743BFE"/>
    <w:rsid w:val="00743DD2"/>
    <w:rsid w:val="00743FDE"/>
    <w:rsid w:val="0074577B"/>
    <w:rsid w:val="007466F2"/>
    <w:rsid w:val="007469BD"/>
    <w:rsid w:val="00746B5A"/>
    <w:rsid w:val="00746F14"/>
    <w:rsid w:val="007471D0"/>
    <w:rsid w:val="007472DC"/>
    <w:rsid w:val="0075052E"/>
    <w:rsid w:val="007521B2"/>
    <w:rsid w:val="0075293C"/>
    <w:rsid w:val="00752AB5"/>
    <w:rsid w:val="00752EA3"/>
    <w:rsid w:val="00752F05"/>
    <w:rsid w:val="00753595"/>
    <w:rsid w:val="00753B73"/>
    <w:rsid w:val="00753C2F"/>
    <w:rsid w:val="0075424F"/>
    <w:rsid w:val="0075476E"/>
    <w:rsid w:val="00754BEB"/>
    <w:rsid w:val="00754C27"/>
    <w:rsid w:val="007555FC"/>
    <w:rsid w:val="00755865"/>
    <w:rsid w:val="00755F27"/>
    <w:rsid w:val="0075663C"/>
    <w:rsid w:val="00756DAD"/>
    <w:rsid w:val="00756DBD"/>
    <w:rsid w:val="0076049D"/>
    <w:rsid w:val="00760651"/>
    <w:rsid w:val="00760A18"/>
    <w:rsid w:val="0076144B"/>
    <w:rsid w:val="00762527"/>
    <w:rsid w:val="00762E35"/>
    <w:rsid w:val="00764618"/>
    <w:rsid w:val="007646CE"/>
    <w:rsid w:val="00764BF7"/>
    <w:rsid w:val="00765C14"/>
    <w:rsid w:val="007664F9"/>
    <w:rsid w:val="00766B33"/>
    <w:rsid w:val="0076753E"/>
    <w:rsid w:val="007675BD"/>
    <w:rsid w:val="00767F37"/>
    <w:rsid w:val="0077009C"/>
    <w:rsid w:val="007708F5"/>
    <w:rsid w:val="00771361"/>
    <w:rsid w:val="0077189F"/>
    <w:rsid w:val="00771EE1"/>
    <w:rsid w:val="00772F28"/>
    <w:rsid w:val="007730B6"/>
    <w:rsid w:val="00773F34"/>
    <w:rsid w:val="00773F5A"/>
    <w:rsid w:val="00774137"/>
    <w:rsid w:val="007751CC"/>
    <w:rsid w:val="0077525A"/>
    <w:rsid w:val="00777B79"/>
    <w:rsid w:val="00781FF1"/>
    <w:rsid w:val="00782871"/>
    <w:rsid w:val="00783052"/>
    <w:rsid w:val="0078366D"/>
    <w:rsid w:val="00785C55"/>
    <w:rsid w:val="00785F1C"/>
    <w:rsid w:val="00786886"/>
    <w:rsid w:val="00787D32"/>
    <w:rsid w:val="00792095"/>
    <w:rsid w:val="007929E7"/>
    <w:rsid w:val="0079307E"/>
    <w:rsid w:val="007935E3"/>
    <w:rsid w:val="00793C2F"/>
    <w:rsid w:val="00795675"/>
    <w:rsid w:val="0079605A"/>
    <w:rsid w:val="0079696A"/>
    <w:rsid w:val="00796C74"/>
    <w:rsid w:val="007A01C5"/>
    <w:rsid w:val="007A02B4"/>
    <w:rsid w:val="007A0710"/>
    <w:rsid w:val="007A08C2"/>
    <w:rsid w:val="007A10B8"/>
    <w:rsid w:val="007A18EA"/>
    <w:rsid w:val="007A1EBA"/>
    <w:rsid w:val="007A2051"/>
    <w:rsid w:val="007A28FE"/>
    <w:rsid w:val="007A36DA"/>
    <w:rsid w:val="007A3873"/>
    <w:rsid w:val="007A472E"/>
    <w:rsid w:val="007A475C"/>
    <w:rsid w:val="007A4CA2"/>
    <w:rsid w:val="007A5A0B"/>
    <w:rsid w:val="007A5D37"/>
    <w:rsid w:val="007A708C"/>
    <w:rsid w:val="007A7981"/>
    <w:rsid w:val="007B0703"/>
    <w:rsid w:val="007B0FFA"/>
    <w:rsid w:val="007B2F67"/>
    <w:rsid w:val="007B3CF1"/>
    <w:rsid w:val="007B470E"/>
    <w:rsid w:val="007B4720"/>
    <w:rsid w:val="007B4744"/>
    <w:rsid w:val="007B57D8"/>
    <w:rsid w:val="007B5BA1"/>
    <w:rsid w:val="007B60CF"/>
    <w:rsid w:val="007B6A2F"/>
    <w:rsid w:val="007B6D9E"/>
    <w:rsid w:val="007B7625"/>
    <w:rsid w:val="007B7F0B"/>
    <w:rsid w:val="007C0618"/>
    <w:rsid w:val="007C0E24"/>
    <w:rsid w:val="007C0FFC"/>
    <w:rsid w:val="007C2041"/>
    <w:rsid w:val="007C2670"/>
    <w:rsid w:val="007C362C"/>
    <w:rsid w:val="007C41D3"/>
    <w:rsid w:val="007C5A01"/>
    <w:rsid w:val="007C5D42"/>
    <w:rsid w:val="007C6122"/>
    <w:rsid w:val="007C6A32"/>
    <w:rsid w:val="007D1232"/>
    <w:rsid w:val="007D140E"/>
    <w:rsid w:val="007D1DBD"/>
    <w:rsid w:val="007D39A8"/>
    <w:rsid w:val="007D435F"/>
    <w:rsid w:val="007D4A83"/>
    <w:rsid w:val="007D5884"/>
    <w:rsid w:val="007D600C"/>
    <w:rsid w:val="007D6223"/>
    <w:rsid w:val="007D6685"/>
    <w:rsid w:val="007E1D12"/>
    <w:rsid w:val="007E22CC"/>
    <w:rsid w:val="007E2ABB"/>
    <w:rsid w:val="007E4079"/>
    <w:rsid w:val="007E62E3"/>
    <w:rsid w:val="007E70B0"/>
    <w:rsid w:val="007E77BA"/>
    <w:rsid w:val="007E78DD"/>
    <w:rsid w:val="007F0814"/>
    <w:rsid w:val="007F08C0"/>
    <w:rsid w:val="007F08F6"/>
    <w:rsid w:val="007F0FF0"/>
    <w:rsid w:val="007F13EE"/>
    <w:rsid w:val="007F1939"/>
    <w:rsid w:val="007F1AAA"/>
    <w:rsid w:val="007F1B96"/>
    <w:rsid w:val="007F23FC"/>
    <w:rsid w:val="007F2415"/>
    <w:rsid w:val="007F2F4C"/>
    <w:rsid w:val="007F3A7F"/>
    <w:rsid w:val="007F3C5C"/>
    <w:rsid w:val="007F3F94"/>
    <w:rsid w:val="007F44C4"/>
    <w:rsid w:val="007F5560"/>
    <w:rsid w:val="007F5B2C"/>
    <w:rsid w:val="007F5EC5"/>
    <w:rsid w:val="007F62DE"/>
    <w:rsid w:val="007F70B8"/>
    <w:rsid w:val="007F7709"/>
    <w:rsid w:val="00800572"/>
    <w:rsid w:val="00801436"/>
    <w:rsid w:val="00801865"/>
    <w:rsid w:val="00801BD8"/>
    <w:rsid w:val="00801BFA"/>
    <w:rsid w:val="00802DC8"/>
    <w:rsid w:val="008032F1"/>
    <w:rsid w:val="00803B42"/>
    <w:rsid w:val="00804376"/>
    <w:rsid w:val="00804BE8"/>
    <w:rsid w:val="008050AA"/>
    <w:rsid w:val="008053CB"/>
    <w:rsid w:val="00806F00"/>
    <w:rsid w:val="00807A17"/>
    <w:rsid w:val="008100A3"/>
    <w:rsid w:val="0081074D"/>
    <w:rsid w:val="00810B76"/>
    <w:rsid w:val="008110E9"/>
    <w:rsid w:val="00811880"/>
    <w:rsid w:val="00811A4A"/>
    <w:rsid w:val="00812E1F"/>
    <w:rsid w:val="008134C1"/>
    <w:rsid w:val="00813700"/>
    <w:rsid w:val="00813E55"/>
    <w:rsid w:val="008140D6"/>
    <w:rsid w:val="00814173"/>
    <w:rsid w:val="00814F3B"/>
    <w:rsid w:val="008156C9"/>
    <w:rsid w:val="00815981"/>
    <w:rsid w:val="0081604A"/>
    <w:rsid w:val="00816A18"/>
    <w:rsid w:val="00816EBC"/>
    <w:rsid w:val="00820208"/>
    <w:rsid w:val="00820932"/>
    <w:rsid w:val="0082161D"/>
    <w:rsid w:val="00821A74"/>
    <w:rsid w:val="00821CF9"/>
    <w:rsid w:val="00821DD0"/>
    <w:rsid w:val="0082204F"/>
    <w:rsid w:val="00822210"/>
    <w:rsid w:val="008228BB"/>
    <w:rsid w:val="00822C22"/>
    <w:rsid w:val="008250CF"/>
    <w:rsid w:val="008259EF"/>
    <w:rsid w:val="00830DDF"/>
    <w:rsid w:val="00831083"/>
    <w:rsid w:val="00831B02"/>
    <w:rsid w:val="0083200E"/>
    <w:rsid w:val="008344AF"/>
    <w:rsid w:val="00834B2D"/>
    <w:rsid w:val="008358E6"/>
    <w:rsid w:val="00835AB8"/>
    <w:rsid w:val="00836ADE"/>
    <w:rsid w:val="0083771C"/>
    <w:rsid w:val="00840D71"/>
    <w:rsid w:val="008421A1"/>
    <w:rsid w:val="0084237F"/>
    <w:rsid w:val="0084291F"/>
    <w:rsid w:val="008430ED"/>
    <w:rsid w:val="008442BA"/>
    <w:rsid w:val="00844FF9"/>
    <w:rsid w:val="008458D6"/>
    <w:rsid w:val="00845FFF"/>
    <w:rsid w:val="00846128"/>
    <w:rsid w:val="008475CB"/>
    <w:rsid w:val="00847AFE"/>
    <w:rsid w:val="00850069"/>
    <w:rsid w:val="008518ED"/>
    <w:rsid w:val="008519EF"/>
    <w:rsid w:val="00851DAB"/>
    <w:rsid w:val="008525B5"/>
    <w:rsid w:val="00852A14"/>
    <w:rsid w:val="00854898"/>
    <w:rsid w:val="00854FA8"/>
    <w:rsid w:val="0085652B"/>
    <w:rsid w:val="00857273"/>
    <w:rsid w:val="00857C97"/>
    <w:rsid w:val="00860065"/>
    <w:rsid w:val="0086129C"/>
    <w:rsid w:val="008616E0"/>
    <w:rsid w:val="00861C61"/>
    <w:rsid w:val="00861E0C"/>
    <w:rsid w:val="00861E44"/>
    <w:rsid w:val="008620DF"/>
    <w:rsid w:val="00862170"/>
    <w:rsid w:val="0086269B"/>
    <w:rsid w:val="008632C2"/>
    <w:rsid w:val="00863F6E"/>
    <w:rsid w:val="008640C5"/>
    <w:rsid w:val="00865200"/>
    <w:rsid w:val="00866BD7"/>
    <w:rsid w:val="008673C5"/>
    <w:rsid w:val="008675EC"/>
    <w:rsid w:val="008700EC"/>
    <w:rsid w:val="00870919"/>
    <w:rsid w:val="00870B66"/>
    <w:rsid w:val="00870E3D"/>
    <w:rsid w:val="00871F3B"/>
    <w:rsid w:val="0087269F"/>
    <w:rsid w:val="008744A4"/>
    <w:rsid w:val="008746AD"/>
    <w:rsid w:val="00874C48"/>
    <w:rsid w:val="00874F54"/>
    <w:rsid w:val="0087507A"/>
    <w:rsid w:val="0087530D"/>
    <w:rsid w:val="00875503"/>
    <w:rsid w:val="00875801"/>
    <w:rsid w:val="008765D7"/>
    <w:rsid w:val="00876DBB"/>
    <w:rsid w:val="00877463"/>
    <w:rsid w:val="008779D1"/>
    <w:rsid w:val="00877FEF"/>
    <w:rsid w:val="008806C7"/>
    <w:rsid w:val="00880BF1"/>
    <w:rsid w:val="00880EB6"/>
    <w:rsid w:val="00880FB6"/>
    <w:rsid w:val="00881576"/>
    <w:rsid w:val="0088293E"/>
    <w:rsid w:val="00882BD4"/>
    <w:rsid w:val="00883575"/>
    <w:rsid w:val="008839F3"/>
    <w:rsid w:val="00883A04"/>
    <w:rsid w:val="00883DB1"/>
    <w:rsid w:val="0088692E"/>
    <w:rsid w:val="0088699D"/>
    <w:rsid w:val="00886CF7"/>
    <w:rsid w:val="008874D8"/>
    <w:rsid w:val="00887555"/>
    <w:rsid w:val="00887652"/>
    <w:rsid w:val="00890938"/>
    <w:rsid w:val="00891FCE"/>
    <w:rsid w:val="00892179"/>
    <w:rsid w:val="00892927"/>
    <w:rsid w:val="00892E3B"/>
    <w:rsid w:val="00893BC8"/>
    <w:rsid w:val="00894036"/>
    <w:rsid w:val="00894AAE"/>
    <w:rsid w:val="008957DF"/>
    <w:rsid w:val="00896572"/>
    <w:rsid w:val="00896892"/>
    <w:rsid w:val="008974E2"/>
    <w:rsid w:val="008979D0"/>
    <w:rsid w:val="008A01CB"/>
    <w:rsid w:val="008A122A"/>
    <w:rsid w:val="008A1418"/>
    <w:rsid w:val="008A224E"/>
    <w:rsid w:val="008A254A"/>
    <w:rsid w:val="008A2553"/>
    <w:rsid w:val="008A2B04"/>
    <w:rsid w:val="008A4ED5"/>
    <w:rsid w:val="008A5177"/>
    <w:rsid w:val="008A52DA"/>
    <w:rsid w:val="008A568D"/>
    <w:rsid w:val="008A57ED"/>
    <w:rsid w:val="008A5D80"/>
    <w:rsid w:val="008A6A0B"/>
    <w:rsid w:val="008B0894"/>
    <w:rsid w:val="008B0A19"/>
    <w:rsid w:val="008B17CA"/>
    <w:rsid w:val="008B1965"/>
    <w:rsid w:val="008B1B0E"/>
    <w:rsid w:val="008B330F"/>
    <w:rsid w:val="008B37CD"/>
    <w:rsid w:val="008B3B1B"/>
    <w:rsid w:val="008B3CCA"/>
    <w:rsid w:val="008B5961"/>
    <w:rsid w:val="008C1905"/>
    <w:rsid w:val="008C1BAE"/>
    <w:rsid w:val="008C3BAF"/>
    <w:rsid w:val="008C4742"/>
    <w:rsid w:val="008C55FE"/>
    <w:rsid w:val="008C59ED"/>
    <w:rsid w:val="008C5EE3"/>
    <w:rsid w:val="008C5F67"/>
    <w:rsid w:val="008C799A"/>
    <w:rsid w:val="008D02A4"/>
    <w:rsid w:val="008D0318"/>
    <w:rsid w:val="008D317E"/>
    <w:rsid w:val="008D3E4B"/>
    <w:rsid w:val="008D3FA3"/>
    <w:rsid w:val="008D418B"/>
    <w:rsid w:val="008D4388"/>
    <w:rsid w:val="008D6203"/>
    <w:rsid w:val="008D62C4"/>
    <w:rsid w:val="008D6844"/>
    <w:rsid w:val="008D68D2"/>
    <w:rsid w:val="008D70CF"/>
    <w:rsid w:val="008D79A3"/>
    <w:rsid w:val="008E0051"/>
    <w:rsid w:val="008E0B80"/>
    <w:rsid w:val="008E0B8A"/>
    <w:rsid w:val="008E0EC5"/>
    <w:rsid w:val="008E1214"/>
    <w:rsid w:val="008E17AF"/>
    <w:rsid w:val="008E309E"/>
    <w:rsid w:val="008E32F0"/>
    <w:rsid w:val="008E3AEB"/>
    <w:rsid w:val="008E3D2A"/>
    <w:rsid w:val="008E4968"/>
    <w:rsid w:val="008E5913"/>
    <w:rsid w:val="008E6135"/>
    <w:rsid w:val="008E6B42"/>
    <w:rsid w:val="008F003D"/>
    <w:rsid w:val="008F020B"/>
    <w:rsid w:val="008F04B4"/>
    <w:rsid w:val="008F04E4"/>
    <w:rsid w:val="008F11C6"/>
    <w:rsid w:val="008F1336"/>
    <w:rsid w:val="008F21E8"/>
    <w:rsid w:val="008F3022"/>
    <w:rsid w:val="008F3211"/>
    <w:rsid w:val="008F3A14"/>
    <w:rsid w:val="008F3AB0"/>
    <w:rsid w:val="008F432F"/>
    <w:rsid w:val="008F4973"/>
    <w:rsid w:val="008F4B77"/>
    <w:rsid w:val="008F4D65"/>
    <w:rsid w:val="008F4FA9"/>
    <w:rsid w:val="008F5DB8"/>
    <w:rsid w:val="008F6359"/>
    <w:rsid w:val="008F6EBA"/>
    <w:rsid w:val="008F7070"/>
    <w:rsid w:val="008F7A14"/>
    <w:rsid w:val="008F7AA7"/>
    <w:rsid w:val="009000AC"/>
    <w:rsid w:val="0090142B"/>
    <w:rsid w:val="00902302"/>
    <w:rsid w:val="009028C2"/>
    <w:rsid w:val="00902906"/>
    <w:rsid w:val="00902CF4"/>
    <w:rsid w:val="00903047"/>
    <w:rsid w:val="00904722"/>
    <w:rsid w:val="009057CB"/>
    <w:rsid w:val="00905F36"/>
    <w:rsid w:val="00906379"/>
    <w:rsid w:val="00906CA9"/>
    <w:rsid w:val="00907581"/>
    <w:rsid w:val="00910371"/>
    <w:rsid w:val="009113B4"/>
    <w:rsid w:val="0091268E"/>
    <w:rsid w:val="00912864"/>
    <w:rsid w:val="00912D35"/>
    <w:rsid w:val="00912F63"/>
    <w:rsid w:val="00913D30"/>
    <w:rsid w:val="00913DC4"/>
    <w:rsid w:val="00913ED4"/>
    <w:rsid w:val="00914134"/>
    <w:rsid w:val="00914CC5"/>
    <w:rsid w:val="00915066"/>
    <w:rsid w:val="00915F37"/>
    <w:rsid w:val="009170EB"/>
    <w:rsid w:val="00917983"/>
    <w:rsid w:val="00922B39"/>
    <w:rsid w:val="00923567"/>
    <w:rsid w:val="00923829"/>
    <w:rsid w:val="00923B65"/>
    <w:rsid w:val="009243B7"/>
    <w:rsid w:val="00926FCA"/>
    <w:rsid w:val="00927B52"/>
    <w:rsid w:val="00930183"/>
    <w:rsid w:val="009305FA"/>
    <w:rsid w:val="00930A34"/>
    <w:rsid w:val="00930D0C"/>
    <w:rsid w:val="00931190"/>
    <w:rsid w:val="0093330B"/>
    <w:rsid w:val="00933FB6"/>
    <w:rsid w:val="00934168"/>
    <w:rsid w:val="009343F9"/>
    <w:rsid w:val="0093483C"/>
    <w:rsid w:val="00934C67"/>
    <w:rsid w:val="00934F88"/>
    <w:rsid w:val="009359D4"/>
    <w:rsid w:val="0093720F"/>
    <w:rsid w:val="00937FDC"/>
    <w:rsid w:val="00940E1C"/>
    <w:rsid w:val="0094104B"/>
    <w:rsid w:val="0094135E"/>
    <w:rsid w:val="00941E4F"/>
    <w:rsid w:val="00941F8D"/>
    <w:rsid w:val="0094210C"/>
    <w:rsid w:val="009429A4"/>
    <w:rsid w:val="009429D3"/>
    <w:rsid w:val="009449D8"/>
    <w:rsid w:val="0094561B"/>
    <w:rsid w:val="00945E0A"/>
    <w:rsid w:val="00945EE0"/>
    <w:rsid w:val="0094708C"/>
    <w:rsid w:val="00947512"/>
    <w:rsid w:val="00947A8D"/>
    <w:rsid w:val="009509F5"/>
    <w:rsid w:val="00950D39"/>
    <w:rsid w:val="00951860"/>
    <w:rsid w:val="009520BA"/>
    <w:rsid w:val="0095479E"/>
    <w:rsid w:val="009552F4"/>
    <w:rsid w:val="0095699E"/>
    <w:rsid w:val="009575F3"/>
    <w:rsid w:val="00957782"/>
    <w:rsid w:val="0095789D"/>
    <w:rsid w:val="00957FAF"/>
    <w:rsid w:val="00961112"/>
    <w:rsid w:val="009618B9"/>
    <w:rsid w:val="00962079"/>
    <w:rsid w:val="0096219E"/>
    <w:rsid w:val="00963510"/>
    <w:rsid w:val="00963C07"/>
    <w:rsid w:val="009640C8"/>
    <w:rsid w:val="00964A8C"/>
    <w:rsid w:val="00965F6A"/>
    <w:rsid w:val="0096682D"/>
    <w:rsid w:val="009677DB"/>
    <w:rsid w:val="009678C1"/>
    <w:rsid w:val="00970FD1"/>
    <w:rsid w:val="009717B5"/>
    <w:rsid w:val="00971BAC"/>
    <w:rsid w:val="00972712"/>
    <w:rsid w:val="0097299C"/>
    <w:rsid w:val="00973006"/>
    <w:rsid w:val="00973D17"/>
    <w:rsid w:val="00973F28"/>
    <w:rsid w:val="00974006"/>
    <w:rsid w:val="009741CE"/>
    <w:rsid w:val="00974757"/>
    <w:rsid w:val="00974B33"/>
    <w:rsid w:val="00975177"/>
    <w:rsid w:val="00976623"/>
    <w:rsid w:val="009772A9"/>
    <w:rsid w:val="00977EC3"/>
    <w:rsid w:val="00980896"/>
    <w:rsid w:val="009809EF"/>
    <w:rsid w:val="0098183D"/>
    <w:rsid w:val="00981F3C"/>
    <w:rsid w:val="0098266D"/>
    <w:rsid w:val="009839DE"/>
    <w:rsid w:val="00983A9E"/>
    <w:rsid w:val="00983BDC"/>
    <w:rsid w:val="009843D7"/>
    <w:rsid w:val="00985729"/>
    <w:rsid w:val="00985CB0"/>
    <w:rsid w:val="00986DE6"/>
    <w:rsid w:val="00987109"/>
    <w:rsid w:val="009879E2"/>
    <w:rsid w:val="00987B2B"/>
    <w:rsid w:val="00990637"/>
    <w:rsid w:val="00990643"/>
    <w:rsid w:val="0099215E"/>
    <w:rsid w:val="0099380A"/>
    <w:rsid w:val="009948D6"/>
    <w:rsid w:val="009959FD"/>
    <w:rsid w:val="0099629D"/>
    <w:rsid w:val="009969AD"/>
    <w:rsid w:val="00996AB3"/>
    <w:rsid w:val="00997D25"/>
    <w:rsid w:val="00997E7D"/>
    <w:rsid w:val="009A0784"/>
    <w:rsid w:val="009A1E4E"/>
    <w:rsid w:val="009A2121"/>
    <w:rsid w:val="009A2B3A"/>
    <w:rsid w:val="009A2F73"/>
    <w:rsid w:val="009A308B"/>
    <w:rsid w:val="009A31D1"/>
    <w:rsid w:val="009A373A"/>
    <w:rsid w:val="009A403C"/>
    <w:rsid w:val="009A43D2"/>
    <w:rsid w:val="009A4F4F"/>
    <w:rsid w:val="009A5616"/>
    <w:rsid w:val="009A59FE"/>
    <w:rsid w:val="009A6926"/>
    <w:rsid w:val="009A6944"/>
    <w:rsid w:val="009A7018"/>
    <w:rsid w:val="009A796D"/>
    <w:rsid w:val="009B03E4"/>
    <w:rsid w:val="009B0DA6"/>
    <w:rsid w:val="009B167A"/>
    <w:rsid w:val="009B1A63"/>
    <w:rsid w:val="009B1AD8"/>
    <w:rsid w:val="009B2967"/>
    <w:rsid w:val="009B2A07"/>
    <w:rsid w:val="009B2CA6"/>
    <w:rsid w:val="009B31D3"/>
    <w:rsid w:val="009B42E3"/>
    <w:rsid w:val="009B4370"/>
    <w:rsid w:val="009B4E02"/>
    <w:rsid w:val="009B6135"/>
    <w:rsid w:val="009B65EB"/>
    <w:rsid w:val="009B6B29"/>
    <w:rsid w:val="009B740F"/>
    <w:rsid w:val="009C02D1"/>
    <w:rsid w:val="009C0951"/>
    <w:rsid w:val="009C1DEB"/>
    <w:rsid w:val="009C25FA"/>
    <w:rsid w:val="009C2757"/>
    <w:rsid w:val="009C2D60"/>
    <w:rsid w:val="009C31A8"/>
    <w:rsid w:val="009C38C6"/>
    <w:rsid w:val="009C687D"/>
    <w:rsid w:val="009C6C3C"/>
    <w:rsid w:val="009C6EC9"/>
    <w:rsid w:val="009C7DA7"/>
    <w:rsid w:val="009C7F6F"/>
    <w:rsid w:val="009D039B"/>
    <w:rsid w:val="009D082B"/>
    <w:rsid w:val="009D0F25"/>
    <w:rsid w:val="009D13C7"/>
    <w:rsid w:val="009D2583"/>
    <w:rsid w:val="009D36D7"/>
    <w:rsid w:val="009D3D7C"/>
    <w:rsid w:val="009D4D0D"/>
    <w:rsid w:val="009D512C"/>
    <w:rsid w:val="009D59D7"/>
    <w:rsid w:val="009D5E55"/>
    <w:rsid w:val="009D6F66"/>
    <w:rsid w:val="009D7BB2"/>
    <w:rsid w:val="009D7D39"/>
    <w:rsid w:val="009E0229"/>
    <w:rsid w:val="009E051D"/>
    <w:rsid w:val="009E063E"/>
    <w:rsid w:val="009E0F37"/>
    <w:rsid w:val="009E0F84"/>
    <w:rsid w:val="009E1352"/>
    <w:rsid w:val="009E1E1C"/>
    <w:rsid w:val="009E2F08"/>
    <w:rsid w:val="009E3E65"/>
    <w:rsid w:val="009E4CBE"/>
    <w:rsid w:val="009E4D07"/>
    <w:rsid w:val="009E5219"/>
    <w:rsid w:val="009E7016"/>
    <w:rsid w:val="009E75C4"/>
    <w:rsid w:val="009E7E8E"/>
    <w:rsid w:val="009F0ACC"/>
    <w:rsid w:val="009F1260"/>
    <w:rsid w:val="009F2A28"/>
    <w:rsid w:val="009F2AE9"/>
    <w:rsid w:val="009F34F1"/>
    <w:rsid w:val="009F3E00"/>
    <w:rsid w:val="009F5504"/>
    <w:rsid w:val="009F5A5C"/>
    <w:rsid w:val="009F66C6"/>
    <w:rsid w:val="009F703C"/>
    <w:rsid w:val="009F7263"/>
    <w:rsid w:val="009F7BF2"/>
    <w:rsid w:val="009F7C3E"/>
    <w:rsid w:val="00A002E2"/>
    <w:rsid w:val="00A00A76"/>
    <w:rsid w:val="00A0132B"/>
    <w:rsid w:val="00A01819"/>
    <w:rsid w:val="00A019B8"/>
    <w:rsid w:val="00A03266"/>
    <w:rsid w:val="00A04560"/>
    <w:rsid w:val="00A0501C"/>
    <w:rsid w:val="00A05D7E"/>
    <w:rsid w:val="00A0604D"/>
    <w:rsid w:val="00A0642D"/>
    <w:rsid w:val="00A07EE5"/>
    <w:rsid w:val="00A117A2"/>
    <w:rsid w:val="00A11B8D"/>
    <w:rsid w:val="00A11C84"/>
    <w:rsid w:val="00A11EF4"/>
    <w:rsid w:val="00A1269E"/>
    <w:rsid w:val="00A12788"/>
    <w:rsid w:val="00A12C95"/>
    <w:rsid w:val="00A137A9"/>
    <w:rsid w:val="00A1450A"/>
    <w:rsid w:val="00A14C24"/>
    <w:rsid w:val="00A159A8"/>
    <w:rsid w:val="00A16380"/>
    <w:rsid w:val="00A1649C"/>
    <w:rsid w:val="00A166AE"/>
    <w:rsid w:val="00A16AE5"/>
    <w:rsid w:val="00A16E68"/>
    <w:rsid w:val="00A16EF9"/>
    <w:rsid w:val="00A17763"/>
    <w:rsid w:val="00A17858"/>
    <w:rsid w:val="00A202DC"/>
    <w:rsid w:val="00A20852"/>
    <w:rsid w:val="00A209FF"/>
    <w:rsid w:val="00A20ED1"/>
    <w:rsid w:val="00A225EC"/>
    <w:rsid w:val="00A2392C"/>
    <w:rsid w:val="00A25571"/>
    <w:rsid w:val="00A25578"/>
    <w:rsid w:val="00A25928"/>
    <w:rsid w:val="00A26232"/>
    <w:rsid w:val="00A265D1"/>
    <w:rsid w:val="00A266D2"/>
    <w:rsid w:val="00A2746E"/>
    <w:rsid w:val="00A2750A"/>
    <w:rsid w:val="00A27865"/>
    <w:rsid w:val="00A30251"/>
    <w:rsid w:val="00A308FA"/>
    <w:rsid w:val="00A30B78"/>
    <w:rsid w:val="00A30CA1"/>
    <w:rsid w:val="00A3126F"/>
    <w:rsid w:val="00A330B8"/>
    <w:rsid w:val="00A33C83"/>
    <w:rsid w:val="00A347A9"/>
    <w:rsid w:val="00A36118"/>
    <w:rsid w:val="00A370BE"/>
    <w:rsid w:val="00A374C7"/>
    <w:rsid w:val="00A37BDC"/>
    <w:rsid w:val="00A37DDE"/>
    <w:rsid w:val="00A4060F"/>
    <w:rsid w:val="00A4262F"/>
    <w:rsid w:val="00A43199"/>
    <w:rsid w:val="00A43219"/>
    <w:rsid w:val="00A43A77"/>
    <w:rsid w:val="00A44E1A"/>
    <w:rsid w:val="00A45031"/>
    <w:rsid w:val="00A45765"/>
    <w:rsid w:val="00A46228"/>
    <w:rsid w:val="00A4691D"/>
    <w:rsid w:val="00A470F8"/>
    <w:rsid w:val="00A470FE"/>
    <w:rsid w:val="00A47E8B"/>
    <w:rsid w:val="00A503D5"/>
    <w:rsid w:val="00A50EE0"/>
    <w:rsid w:val="00A52CB7"/>
    <w:rsid w:val="00A52F55"/>
    <w:rsid w:val="00A5340F"/>
    <w:rsid w:val="00A5454C"/>
    <w:rsid w:val="00A5460B"/>
    <w:rsid w:val="00A54788"/>
    <w:rsid w:val="00A55A30"/>
    <w:rsid w:val="00A5618B"/>
    <w:rsid w:val="00A5656A"/>
    <w:rsid w:val="00A56620"/>
    <w:rsid w:val="00A577A1"/>
    <w:rsid w:val="00A60649"/>
    <w:rsid w:val="00A60BAC"/>
    <w:rsid w:val="00A61706"/>
    <w:rsid w:val="00A6206A"/>
    <w:rsid w:val="00A6266E"/>
    <w:rsid w:val="00A6567E"/>
    <w:rsid w:val="00A65DC7"/>
    <w:rsid w:val="00A66FEA"/>
    <w:rsid w:val="00A67189"/>
    <w:rsid w:val="00A67685"/>
    <w:rsid w:val="00A6788C"/>
    <w:rsid w:val="00A700DC"/>
    <w:rsid w:val="00A71027"/>
    <w:rsid w:val="00A7180E"/>
    <w:rsid w:val="00A71D2E"/>
    <w:rsid w:val="00A72436"/>
    <w:rsid w:val="00A72654"/>
    <w:rsid w:val="00A73399"/>
    <w:rsid w:val="00A7511E"/>
    <w:rsid w:val="00A7627D"/>
    <w:rsid w:val="00A762E1"/>
    <w:rsid w:val="00A77188"/>
    <w:rsid w:val="00A805A2"/>
    <w:rsid w:val="00A80AAD"/>
    <w:rsid w:val="00A814D1"/>
    <w:rsid w:val="00A81733"/>
    <w:rsid w:val="00A8184B"/>
    <w:rsid w:val="00A82578"/>
    <w:rsid w:val="00A82AA3"/>
    <w:rsid w:val="00A83F64"/>
    <w:rsid w:val="00A85600"/>
    <w:rsid w:val="00A86F7C"/>
    <w:rsid w:val="00A87605"/>
    <w:rsid w:val="00A8797F"/>
    <w:rsid w:val="00A87EE7"/>
    <w:rsid w:val="00A903B1"/>
    <w:rsid w:val="00A914BA"/>
    <w:rsid w:val="00A91D6C"/>
    <w:rsid w:val="00A91E78"/>
    <w:rsid w:val="00A92CEA"/>
    <w:rsid w:val="00A92E73"/>
    <w:rsid w:val="00A92EA2"/>
    <w:rsid w:val="00A934D3"/>
    <w:rsid w:val="00A93B27"/>
    <w:rsid w:val="00A93B36"/>
    <w:rsid w:val="00A93C28"/>
    <w:rsid w:val="00A93CDA"/>
    <w:rsid w:val="00A94DA6"/>
    <w:rsid w:val="00A957BF"/>
    <w:rsid w:val="00A96BF9"/>
    <w:rsid w:val="00A97254"/>
    <w:rsid w:val="00A97443"/>
    <w:rsid w:val="00A9773D"/>
    <w:rsid w:val="00AA0AFD"/>
    <w:rsid w:val="00AA1533"/>
    <w:rsid w:val="00AA15CD"/>
    <w:rsid w:val="00AA1939"/>
    <w:rsid w:val="00AA1D25"/>
    <w:rsid w:val="00AA223B"/>
    <w:rsid w:val="00AA2696"/>
    <w:rsid w:val="00AA2838"/>
    <w:rsid w:val="00AA2D50"/>
    <w:rsid w:val="00AA2FB7"/>
    <w:rsid w:val="00AA31FD"/>
    <w:rsid w:val="00AA382D"/>
    <w:rsid w:val="00AA3F4C"/>
    <w:rsid w:val="00AA5F5A"/>
    <w:rsid w:val="00AA73DD"/>
    <w:rsid w:val="00AA7DD2"/>
    <w:rsid w:val="00AB05EF"/>
    <w:rsid w:val="00AB06A6"/>
    <w:rsid w:val="00AB08EC"/>
    <w:rsid w:val="00AB09C1"/>
    <w:rsid w:val="00AB0D26"/>
    <w:rsid w:val="00AB1319"/>
    <w:rsid w:val="00AB23D9"/>
    <w:rsid w:val="00AB26CA"/>
    <w:rsid w:val="00AB2EF9"/>
    <w:rsid w:val="00AB3D34"/>
    <w:rsid w:val="00AB54A2"/>
    <w:rsid w:val="00AB5721"/>
    <w:rsid w:val="00AB688C"/>
    <w:rsid w:val="00AB6D2D"/>
    <w:rsid w:val="00AB7654"/>
    <w:rsid w:val="00AB7D4F"/>
    <w:rsid w:val="00AC18C9"/>
    <w:rsid w:val="00AC1AFF"/>
    <w:rsid w:val="00AC2DD9"/>
    <w:rsid w:val="00AC3AD1"/>
    <w:rsid w:val="00AC3D25"/>
    <w:rsid w:val="00AC3DAA"/>
    <w:rsid w:val="00AC3F50"/>
    <w:rsid w:val="00AC4883"/>
    <w:rsid w:val="00AC4960"/>
    <w:rsid w:val="00AC5408"/>
    <w:rsid w:val="00AC64E5"/>
    <w:rsid w:val="00AC703F"/>
    <w:rsid w:val="00AC7479"/>
    <w:rsid w:val="00AC783E"/>
    <w:rsid w:val="00AD0078"/>
    <w:rsid w:val="00AD0219"/>
    <w:rsid w:val="00AD1886"/>
    <w:rsid w:val="00AD18AB"/>
    <w:rsid w:val="00AD2410"/>
    <w:rsid w:val="00AD24DD"/>
    <w:rsid w:val="00AD2DB2"/>
    <w:rsid w:val="00AD32F2"/>
    <w:rsid w:val="00AD37CB"/>
    <w:rsid w:val="00AD3EA2"/>
    <w:rsid w:val="00AD40F6"/>
    <w:rsid w:val="00AD428D"/>
    <w:rsid w:val="00AD5142"/>
    <w:rsid w:val="00AD53DF"/>
    <w:rsid w:val="00AD5FEC"/>
    <w:rsid w:val="00AD6AEC"/>
    <w:rsid w:val="00AD6B44"/>
    <w:rsid w:val="00AD7565"/>
    <w:rsid w:val="00AD7E7C"/>
    <w:rsid w:val="00AE2215"/>
    <w:rsid w:val="00AE26B9"/>
    <w:rsid w:val="00AE29A3"/>
    <w:rsid w:val="00AE35B7"/>
    <w:rsid w:val="00AE3BFF"/>
    <w:rsid w:val="00AE4066"/>
    <w:rsid w:val="00AE464C"/>
    <w:rsid w:val="00AE4710"/>
    <w:rsid w:val="00AE486A"/>
    <w:rsid w:val="00AE48FF"/>
    <w:rsid w:val="00AE53F3"/>
    <w:rsid w:val="00AE5819"/>
    <w:rsid w:val="00AE5A57"/>
    <w:rsid w:val="00AE60B8"/>
    <w:rsid w:val="00AE6599"/>
    <w:rsid w:val="00AE70B5"/>
    <w:rsid w:val="00AE75D4"/>
    <w:rsid w:val="00AF043C"/>
    <w:rsid w:val="00AF28DB"/>
    <w:rsid w:val="00AF2D83"/>
    <w:rsid w:val="00AF303D"/>
    <w:rsid w:val="00AF3171"/>
    <w:rsid w:val="00AF3AFE"/>
    <w:rsid w:val="00AF407C"/>
    <w:rsid w:val="00AF43CB"/>
    <w:rsid w:val="00AF579E"/>
    <w:rsid w:val="00AF621B"/>
    <w:rsid w:val="00AF6D6B"/>
    <w:rsid w:val="00AF6E17"/>
    <w:rsid w:val="00AF6EC4"/>
    <w:rsid w:val="00AF71B7"/>
    <w:rsid w:val="00AF74A1"/>
    <w:rsid w:val="00AF78BF"/>
    <w:rsid w:val="00B00188"/>
    <w:rsid w:val="00B0079F"/>
    <w:rsid w:val="00B00898"/>
    <w:rsid w:val="00B00E98"/>
    <w:rsid w:val="00B01C83"/>
    <w:rsid w:val="00B0260D"/>
    <w:rsid w:val="00B02774"/>
    <w:rsid w:val="00B02D3C"/>
    <w:rsid w:val="00B02EA9"/>
    <w:rsid w:val="00B03FAA"/>
    <w:rsid w:val="00B04F66"/>
    <w:rsid w:val="00B056CD"/>
    <w:rsid w:val="00B05FAE"/>
    <w:rsid w:val="00B064F6"/>
    <w:rsid w:val="00B06A30"/>
    <w:rsid w:val="00B06D22"/>
    <w:rsid w:val="00B0712F"/>
    <w:rsid w:val="00B10D33"/>
    <w:rsid w:val="00B1113D"/>
    <w:rsid w:val="00B115F2"/>
    <w:rsid w:val="00B11907"/>
    <w:rsid w:val="00B1221E"/>
    <w:rsid w:val="00B12B99"/>
    <w:rsid w:val="00B13349"/>
    <w:rsid w:val="00B13D5B"/>
    <w:rsid w:val="00B152F3"/>
    <w:rsid w:val="00B157BF"/>
    <w:rsid w:val="00B15C73"/>
    <w:rsid w:val="00B15F9B"/>
    <w:rsid w:val="00B15FAD"/>
    <w:rsid w:val="00B1657D"/>
    <w:rsid w:val="00B174B4"/>
    <w:rsid w:val="00B17949"/>
    <w:rsid w:val="00B17BD5"/>
    <w:rsid w:val="00B17CAC"/>
    <w:rsid w:val="00B17F15"/>
    <w:rsid w:val="00B20D55"/>
    <w:rsid w:val="00B218F2"/>
    <w:rsid w:val="00B23181"/>
    <w:rsid w:val="00B236F0"/>
    <w:rsid w:val="00B24B16"/>
    <w:rsid w:val="00B24D65"/>
    <w:rsid w:val="00B25E29"/>
    <w:rsid w:val="00B261C0"/>
    <w:rsid w:val="00B265C1"/>
    <w:rsid w:val="00B26924"/>
    <w:rsid w:val="00B27841"/>
    <w:rsid w:val="00B2794A"/>
    <w:rsid w:val="00B27B7E"/>
    <w:rsid w:val="00B301D6"/>
    <w:rsid w:val="00B30759"/>
    <w:rsid w:val="00B32F7F"/>
    <w:rsid w:val="00B3324A"/>
    <w:rsid w:val="00B33B80"/>
    <w:rsid w:val="00B347AE"/>
    <w:rsid w:val="00B352F2"/>
    <w:rsid w:val="00B35860"/>
    <w:rsid w:val="00B36182"/>
    <w:rsid w:val="00B36A56"/>
    <w:rsid w:val="00B36BA4"/>
    <w:rsid w:val="00B4183A"/>
    <w:rsid w:val="00B428BB"/>
    <w:rsid w:val="00B4310F"/>
    <w:rsid w:val="00B431A1"/>
    <w:rsid w:val="00B43BC4"/>
    <w:rsid w:val="00B43D6D"/>
    <w:rsid w:val="00B44654"/>
    <w:rsid w:val="00B4485A"/>
    <w:rsid w:val="00B455BA"/>
    <w:rsid w:val="00B463C6"/>
    <w:rsid w:val="00B46C44"/>
    <w:rsid w:val="00B5023D"/>
    <w:rsid w:val="00B50D21"/>
    <w:rsid w:val="00B51108"/>
    <w:rsid w:val="00B51B1E"/>
    <w:rsid w:val="00B52B80"/>
    <w:rsid w:val="00B5305A"/>
    <w:rsid w:val="00B535ED"/>
    <w:rsid w:val="00B5369A"/>
    <w:rsid w:val="00B53DDB"/>
    <w:rsid w:val="00B557B0"/>
    <w:rsid w:val="00B557C3"/>
    <w:rsid w:val="00B55EBE"/>
    <w:rsid w:val="00B55F19"/>
    <w:rsid w:val="00B57CFD"/>
    <w:rsid w:val="00B612A2"/>
    <w:rsid w:val="00B61D19"/>
    <w:rsid w:val="00B6453C"/>
    <w:rsid w:val="00B6493E"/>
    <w:rsid w:val="00B6556A"/>
    <w:rsid w:val="00B6556F"/>
    <w:rsid w:val="00B672C7"/>
    <w:rsid w:val="00B67CC6"/>
    <w:rsid w:val="00B70279"/>
    <w:rsid w:val="00B702FF"/>
    <w:rsid w:val="00B709D1"/>
    <w:rsid w:val="00B70B00"/>
    <w:rsid w:val="00B714AB"/>
    <w:rsid w:val="00B716B8"/>
    <w:rsid w:val="00B7207B"/>
    <w:rsid w:val="00B72151"/>
    <w:rsid w:val="00B72AC5"/>
    <w:rsid w:val="00B73ABA"/>
    <w:rsid w:val="00B73C41"/>
    <w:rsid w:val="00B74451"/>
    <w:rsid w:val="00B746D4"/>
    <w:rsid w:val="00B74F17"/>
    <w:rsid w:val="00B75899"/>
    <w:rsid w:val="00B75B1B"/>
    <w:rsid w:val="00B760EE"/>
    <w:rsid w:val="00B76B22"/>
    <w:rsid w:val="00B76EA3"/>
    <w:rsid w:val="00B7714F"/>
    <w:rsid w:val="00B80097"/>
    <w:rsid w:val="00B80A89"/>
    <w:rsid w:val="00B80D73"/>
    <w:rsid w:val="00B82E74"/>
    <w:rsid w:val="00B831A9"/>
    <w:rsid w:val="00B832D2"/>
    <w:rsid w:val="00B840CA"/>
    <w:rsid w:val="00B843B1"/>
    <w:rsid w:val="00B84562"/>
    <w:rsid w:val="00B85461"/>
    <w:rsid w:val="00B86BDE"/>
    <w:rsid w:val="00B87525"/>
    <w:rsid w:val="00B87AF6"/>
    <w:rsid w:val="00B87B97"/>
    <w:rsid w:val="00B87DAC"/>
    <w:rsid w:val="00B90334"/>
    <w:rsid w:val="00B90AD4"/>
    <w:rsid w:val="00B90CB9"/>
    <w:rsid w:val="00B90DD9"/>
    <w:rsid w:val="00B91C5B"/>
    <w:rsid w:val="00B91CD6"/>
    <w:rsid w:val="00B91FB5"/>
    <w:rsid w:val="00B93411"/>
    <w:rsid w:val="00B9364B"/>
    <w:rsid w:val="00B9550A"/>
    <w:rsid w:val="00B95732"/>
    <w:rsid w:val="00B96AD8"/>
    <w:rsid w:val="00B9723F"/>
    <w:rsid w:val="00B9731D"/>
    <w:rsid w:val="00BA03C5"/>
    <w:rsid w:val="00BA1192"/>
    <w:rsid w:val="00BA2364"/>
    <w:rsid w:val="00BA2C46"/>
    <w:rsid w:val="00BA3FE1"/>
    <w:rsid w:val="00BA475C"/>
    <w:rsid w:val="00BA5125"/>
    <w:rsid w:val="00BA524B"/>
    <w:rsid w:val="00BA66A3"/>
    <w:rsid w:val="00BA7084"/>
    <w:rsid w:val="00BA7953"/>
    <w:rsid w:val="00BB001A"/>
    <w:rsid w:val="00BB11F3"/>
    <w:rsid w:val="00BB124D"/>
    <w:rsid w:val="00BB14DB"/>
    <w:rsid w:val="00BB16AC"/>
    <w:rsid w:val="00BB1AA0"/>
    <w:rsid w:val="00BB2068"/>
    <w:rsid w:val="00BB28A0"/>
    <w:rsid w:val="00BB2F01"/>
    <w:rsid w:val="00BB40BA"/>
    <w:rsid w:val="00BB43BD"/>
    <w:rsid w:val="00BB45CB"/>
    <w:rsid w:val="00BB667E"/>
    <w:rsid w:val="00BB66FB"/>
    <w:rsid w:val="00BB759B"/>
    <w:rsid w:val="00BB7866"/>
    <w:rsid w:val="00BB7923"/>
    <w:rsid w:val="00BB79C4"/>
    <w:rsid w:val="00BB7F71"/>
    <w:rsid w:val="00BC064F"/>
    <w:rsid w:val="00BC0D30"/>
    <w:rsid w:val="00BC1380"/>
    <w:rsid w:val="00BC260C"/>
    <w:rsid w:val="00BC342C"/>
    <w:rsid w:val="00BC36FD"/>
    <w:rsid w:val="00BC42D7"/>
    <w:rsid w:val="00BC4668"/>
    <w:rsid w:val="00BC46AD"/>
    <w:rsid w:val="00BC53D9"/>
    <w:rsid w:val="00BC5465"/>
    <w:rsid w:val="00BC5476"/>
    <w:rsid w:val="00BC5849"/>
    <w:rsid w:val="00BC635A"/>
    <w:rsid w:val="00BC683E"/>
    <w:rsid w:val="00BC6CBA"/>
    <w:rsid w:val="00BC766E"/>
    <w:rsid w:val="00BC76C5"/>
    <w:rsid w:val="00BC777A"/>
    <w:rsid w:val="00BD0493"/>
    <w:rsid w:val="00BD0B0D"/>
    <w:rsid w:val="00BD1B3E"/>
    <w:rsid w:val="00BD20BA"/>
    <w:rsid w:val="00BD2E3E"/>
    <w:rsid w:val="00BD32C6"/>
    <w:rsid w:val="00BD3305"/>
    <w:rsid w:val="00BD35CE"/>
    <w:rsid w:val="00BD36EB"/>
    <w:rsid w:val="00BD39D1"/>
    <w:rsid w:val="00BD4B12"/>
    <w:rsid w:val="00BD6129"/>
    <w:rsid w:val="00BD6D7E"/>
    <w:rsid w:val="00BD7669"/>
    <w:rsid w:val="00BE0D6C"/>
    <w:rsid w:val="00BE0FCA"/>
    <w:rsid w:val="00BE19CA"/>
    <w:rsid w:val="00BE21FE"/>
    <w:rsid w:val="00BE235E"/>
    <w:rsid w:val="00BE25DE"/>
    <w:rsid w:val="00BE2650"/>
    <w:rsid w:val="00BE29E6"/>
    <w:rsid w:val="00BE3152"/>
    <w:rsid w:val="00BE32AF"/>
    <w:rsid w:val="00BE3C47"/>
    <w:rsid w:val="00BE413B"/>
    <w:rsid w:val="00BE46A9"/>
    <w:rsid w:val="00BE4A64"/>
    <w:rsid w:val="00BE4E91"/>
    <w:rsid w:val="00BE5260"/>
    <w:rsid w:val="00BE5616"/>
    <w:rsid w:val="00BE5CEB"/>
    <w:rsid w:val="00BE6726"/>
    <w:rsid w:val="00BE6F71"/>
    <w:rsid w:val="00BE7234"/>
    <w:rsid w:val="00BF0069"/>
    <w:rsid w:val="00BF0578"/>
    <w:rsid w:val="00BF29CE"/>
    <w:rsid w:val="00BF2CF4"/>
    <w:rsid w:val="00BF36F5"/>
    <w:rsid w:val="00BF4364"/>
    <w:rsid w:val="00BF4D8E"/>
    <w:rsid w:val="00BF5722"/>
    <w:rsid w:val="00BF5F06"/>
    <w:rsid w:val="00BF62FB"/>
    <w:rsid w:val="00BF7625"/>
    <w:rsid w:val="00BF7C14"/>
    <w:rsid w:val="00C01377"/>
    <w:rsid w:val="00C01653"/>
    <w:rsid w:val="00C031DA"/>
    <w:rsid w:val="00C0321B"/>
    <w:rsid w:val="00C03978"/>
    <w:rsid w:val="00C0430E"/>
    <w:rsid w:val="00C04E72"/>
    <w:rsid w:val="00C053D2"/>
    <w:rsid w:val="00C058B1"/>
    <w:rsid w:val="00C05F1D"/>
    <w:rsid w:val="00C06A72"/>
    <w:rsid w:val="00C072A9"/>
    <w:rsid w:val="00C07DF6"/>
    <w:rsid w:val="00C07EB1"/>
    <w:rsid w:val="00C106EB"/>
    <w:rsid w:val="00C10C47"/>
    <w:rsid w:val="00C11171"/>
    <w:rsid w:val="00C1173D"/>
    <w:rsid w:val="00C13E33"/>
    <w:rsid w:val="00C14BE1"/>
    <w:rsid w:val="00C15B94"/>
    <w:rsid w:val="00C15E65"/>
    <w:rsid w:val="00C203C0"/>
    <w:rsid w:val="00C20DC4"/>
    <w:rsid w:val="00C2104A"/>
    <w:rsid w:val="00C2148B"/>
    <w:rsid w:val="00C21724"/>
    <w:rsid w:val="00C2278C"/>
    <w:rsid w:val="00C229D3"/>
    <w:rsid w:val="00C2418D"/>
    <w:rsid w:val="00C242D8"/>
    <w:rsid w:val="00C242F2"/>
    <w:rsid w:val="00C24632"/>
    <w:rsid w:val="00C247C1"/>
    <w:rsid w:val="00C24C6F"/>
    <w:rsid w:val="00C24CD4"/>
    <w:rsid w:val="00C25B2E"/>
    <w:rsid w:val="00C26B9E"/>
    <w:rsid w:val="00C277E3"/>
    <w:rsid w:val="00C27BCD"/>
    <w:rsid w:val="00C27C2A"/>
    <w:rsid w:val="00C27CE3"/>
    <w:rsid w:val="00C3033E"/>
    <w:rsid w:val="00C31521"/>
    <w:rsid w:val="00C31D3C"/>
    <w:rsid w:val="00C320AE"/>
    <w:rsid w:val="00C327BC"/>
    <w:rsid w:val="00C34111"/>
    <w:rsid w:val="00C34971"/>
    <w:rsid w:val="00C355F2"/>
    <w:rsid w:val="00C35AF4"/>
    <w:rsid w:val="00C35F07"/>
    <w:rsid w:val="00C3671C"/>
    <w:rsid w:val="00C36D7A"/>
    <w:rsid w:val="00C37210"/>
    <w:rsid w:val="00C37353"/>
    <w:rsid w:val="00C41D73"/>
    <w:rsid w:val="00C435E7"/>
    <w:rsid w:val="00C438AF"/>
    <w:rsid w:val="00C443F8"/>
    <w:rsid w:val="00C44E7E"/>
    <w:rsid w:val="00C45AF8"/>
    <w:rsid w:val="00C46163"/>
    <w:rsid w:val="00C467FF"/>
    <w:rsid w:val="00C4682B"/>
    <w:rsid w:val="00C46DD7"/>
    <w:rsid w:val="00C46EB6"/>
    <w:rsid w:val="00C47C90"/>
    <w:rsid w:val="00C5051A"/>
    <w:rsid w:val="00C50692"/>
    <w:rsid w:val="00C5133A"/>
    <w:rsid w:val="00C518F6"/>
    <w:rsid w:val="00C51D8D"/>
    <w:rsid w:val="00C52004"/>
    <w:rsid w:val="00C52F12"/>
    <w:rsid w:val="00C539CA"/>
    <w:rsid w:val="00C540FD"/>
    <w:rsid w:val="00C54D24"/>
    <w:rsid w:val="00C5620A"/>
    <w:rsid w:val="00C56499"/>
    <w:rsid w:val="00C5783F"/>
    <w:rsid w:val="00C57C95"/>
    <w:rsid w:val="00C60165"/>
    <w:rsid w:val="00C61951"/>
    <w:rsid w:val="00C61E5F"/>
    <w:rsid w:val="00C6203B"/>
    <w:rsid w:val="00C62563"/>
    <w:rsid w:val="00C6369F"/>
    <w:rsid w:val="00C63A28"/>
    <w:rsid w:val="00C64A61"/>
    <w:rsid w:val="00C66A12"/>
    <w:rsid w:val="00C66C22"/>
    <w:rsid w:val="00C67A4C"/>
    <w:rsid w:val="00C702DF"/>
    <w:rsid w:val="00C70C75"/>
    <w:rsid w:val="00C70CD6"/>
    <w:rsid w:val="00C73475"/>
    <w:rsid w:val="00C73948"/>
    <w:rsid w:val="00C739E1"/>
    <w:rsid w:val="00C73DEB"/>
    <w:rsid w:val="00C7427D"/>
    <w:rsid w:val="00C755F2"/>
    <w:rsid w:val="00C75673"/>
    <w:rsid w:val="00C75E9C"/>
    <w:rsid w:val="00C76025"/>
    <w:rsid w:val="00C808D6"/>
    <w:rsid w:val="00C80960"/>
    <w:rsid w:val="00C809FD"/>
    <w:rsid w:val="00C81228"/>
    <w:rsid w:val="00C81A47"/>
    <w:rsid w:val="00C81B9F"/>
    <w:rsid w:val="00C82B35"/>
    <w:rsid w:val="00C83D77"/>
    <w:rsid w:val="00C84FEB"/>
    <w:rsid w:val="00C86936"/>
    <w:rsid w:val="00C87CDE"/>
    <w:rsid w:val="00C9008C"/>
    <w:rsid w:val="00C90415"/>
    <w:rsid w:val="00C90553"/>
    <w:rsid w:val="00C9057A"/>
    <w:rsid w:val="00C910BC"/>
    <w:rsid w:val="00C9129A"/>
    <w:rsid w:val="00C9363F"/>
    <w:rsid w:val="00C937D4"/>
    <w:rsid w:val="00C93D39"/>
    <w:rsid w:val="00C9455A"/>
    <w:rsid w:val="00C94D62"/>
    <w:rsid w:val="00C96FB4"/>
    <w:rsid w:val="00CA07D0"/>
    <w:rsid w:val="00CA1E04"/>
    <w:rsid w:val="00CA2127"/>
    <w:rsid w:val="00CA381C"/>
    <w:rsid w:val="00CA4B0A"/>
    <w:rsid w:val="00CA534C"/>
    <w:rsid w:val="00CA71D6"/>
    <w:rsid w:val="00CA79D7"/>
    <w:rsid w:val="00CA7A7D"/>
    <w:rsid w:val="00CA7B62"/>
    <w:rsid w:val="00CB1228"/>
    <w:rsid w:val="00CB161A"/>
    <w:rsid w:val="00CB16A4"/>
    <w:rsid w:val="00CB1DEF"/>
    <w:rsid w:val="00CB20E7"/>
    <w:rsid w:val="00CB42C5"/>
    <w:rsid w:val="00CB445F"/>
    <w:rsid w:val="00CB4B14"/>
    <w:rsid w:val="00CB4EE8"/>
    <w:rsid w:val="00CB5816"/>
    <w:rsid w:val="00CB5AD7"/>
    <w:rsid w:val="00CB5B74"/>
    <w:rsid w:val="00CB64C9"/>
    <w:rsid w:val="00CC038C"/>
    <w:rsid w:val="00CC06DC"/>
    <w:rsid w:val="00CC0789"/>
    <w:rsid w:val="00CC1CBB"/>
    <w:rsid w:val="00CC24CE"/>
    <w:rsid w:val="00CC2D95"/>
    <w:rsid w:val="00CC3C16"/>
    <w:rsid w:val="00CC45D7"/>
    <w:rsid w:val="00CC46F2"/>
    <w:rsid w:val="00CC4E8F"/>
    <w:rsid w:val="00CC5151"/>
    <w:rsid w:val="00CC5F83"/>
    <w:rsid w:val="00CC647B"/>
    <w:rsid w:val="00CC6801"/>
    <w:rsid w:val="00CC6A15"/>
    <w:rsid w:val="00CC7299"/>
    <w:rsid w:val="00CC72C0"/>
    <w:rsid w:val="00CC772A"/>
    <w:rsid w:val="00CD0476"/>
    <w:rsid w:val="00CD2730"/>
    <w:rsid w:val="00CD2846"/>
    <w:rsid w:val="00CD3913"/>
    <w:rsid w:val="00CD4A9E"/>
    <w:rsid w:val="00CD4EE4"/>
    <w:rsid w:val="00CD4EF7"/>
    <w:rsid w:val="00CD54EC"/>
    <w:rsid w:val="00CD5717"/>
    <w:rsid w:val="00CD5B01"/>
    <w:rsid w:val="00CD6B2A"/>
    <w:rsid w:val="00CD713B"/>
    <w:rsid w:val="00CD7E63"/>
    <w:rsid w:val="00CE0190"/>
    <w:rsid w:val="00CE0B55"/>
    <w:rsid w:val="00CE0E65"/>
    <w:rsid w:val="00CE0FD0"/>
    <w:rsid w:val="00CE1581"/>
    <w:rsid w:val="00CE162A"/>
    <w:rsid w:val="00CE19C5"/>
    <w:rsid w:val="00CE29E3"/>
    <w:rsid w:val="00CE2C8F"/>
    <w:rsid w:val="00CE2F76"/>
    <w:rsid w:val="00CE385D"/>
    <w:rsid w:val="00CE4B63"/>
    <w:rsid w:val="00CE5548"/>
    <w:rsid w:val="00CE59A2"/>
    <w:rsid w:val="00CE6A4A"/>
    <w:rsid w:val="00CE6DD5"/>
    <w:rsid w:val="00CE777D"/>
    <w:rsid w:val="00CE7831"/>
    <w:rsid w:val="00CF1265"/>
    <w:rsid w:val="00CF2037"/>
    <w:rsid w:val="00CF224D"/>
    <w:rsid w:val="00CF29F5"/>
    <w:rsid w:val="00CF2E4A"/>
    <w:rsid w:val="00CF4027"/>
    <w:rsid w:val="00CF42F8"/>
    <w:rsid w:val="00CF489B"/>
    <w:rsid w:val="00CF4A1B"/>
    <w:rsid w:val="00CF4D45"/>
    <w:rsid w:val="00CF5103"/>
    <w:rsid w:val="00CF6B83"/>
    <w:rsid w:val="00CF6F7A"/>
    <w:rsid w:val="00CF730B"/>
    <w:rsid w:val="00CF742F"/>
    <w:rsid w:val="00CF757E"/>
    <w:rsid w:val="00CF79FA"/>
    <w:rsid w:val="00CF7CAB"/>
    <w:rsid w:val="00CF7E68"/>
    <w:rsid w:val="00D003E9"/>
    <w:rsid w:val="00D00E96"/>
    <w:rsid w:val="00D04701"/>
    <w:rsid w:val="00D0475E"/>
    <w:rsid w:val="00D04AED"/>
    <w:rsid w:val="00D04E86"/>
    <w:rsid w:val="00D04F90"/>
    <w:rsid w:val="00D05DAF"/>
    <w:rsid w:val="00D069EA"/>
    <w:rsid w:val="00D06FE3"/>
    <w:rsid w:val="00D07078"/>
    <w:rsid w:val="00D07090"/>
    <w:rsid w:val="00D079A5"/>
    <w:rsid w:val="00D10582"/>
    <w:rsid w:val="00D10E20"/>
    <w:rsid w:val="00D11547"/>
    <w:rsid w:val="00D13C93"/>
    <w:rsid w:val="00D14E2B"/>
    <w:rsid w:val="00D15A52"/>
    <w:rsid w:val="00D178E3"/>
    <w:rsid w:val="00D21D3D"/>
    <w:rsid w:val="00D22C3B"/>
    <w:rsid w:val="00D23732"/>
    <w:rsid w:val="00D23B4B"/>
    <w:rsid w:val="00D2440D"/>
    <w:rsid w:val="00D24860"/>
    <w:rsid w:val="00D25808"/>
    <w:rsid w:val="00D26583"/>
    <w:rsid w:val="00D267AA"/>
    <w:rsid w:val="00D267C0"/>
    <w:rsid w:val="00D26D42"/>
    <w:rsid w:val="00D26EAF"/>
    <w:rsid w:val="00D271D2"/>
    <w:rsid w:val="00D27713"/>
    <w:rsid w:val="00D30418"/>
    <w:rsid w:val="00D30EC9"/>
    <w:rsid w:val="00D31398"/>
    <w:rsid w:val="00D315FD"/>
    <w:rsid w:val="00D319DC"/>
    <w:rsid w:val="00D324C2"/>
    <w:rsid w:val="00D331C9"/>
    <w:rsid w:val="00D331F1"/>
    <w:rsid w:val="00D33F5A"/>
    <w:rsid w:val="00D34325"/>
    <w:rsid w:val="00D343BC"/>
    <w:rsid w:val="00D345A7"/>
    <w:rsid w:val="00D34B81"/>
    <w:rsid w:val="00D36508"/>
    <w:rsid w:val="00D3656D"/>
    <w:rsid w:val="00D36E8E"/>
    <w:rsid w:val="00D3724F"/>
    <w:rsid w:val="00D4079A"/>
    <w:rsid w:val="00D40988"/>
    <w:rsid w:val="00D40AF6"/>
    <w:rsid w:val="00D41BA0"/>
    <w:rsid w:val="00D44075"/>
    <w:rsid w:val="00D44A45"/>
    <w:rsid w:val="00D45327"/>
    <w:rsid w:val="00D4600F"/>
    <w:rsid w:val="00D46B04"/>
    <w:rsid w:val="00D46D6A"/>
    <w:rsid w:val="00D46E36"/>
    <w:rsid w:val="00D47FE2"/>
    <w:rsid w:val="00D5030C"/>
    <w:rsid w:val="00D505D5"/>
    <w:rsid w:val="00D50C68"/>
    <w:rsid w:val="00D50D04"/>
    <w:rsid w:val="00D5225D"/>
    <w:rsid w:val="00D52942"/>
    <w:rsid w:val="00D52996"/>
    <w:rsid w:val="00D52FD1"/>
    <w:rsid w:val="00D52FFA"/>
    <w:rsid w:val="00D541EE"/>
    <w:rsid w:val="00D544B8"/>
    <w:rsid w:val="00D54DBB"/>
    <w:rsid w:val="00D54F4C"/>
    <w:rsid w:val="00D54FB5"/>
    <w:rsid w:val="00D55432"/>
    <w:rsid w:val="00D554A7"/>
    <w:rsid w:val="00D557FD"/>
    <w:rsid w:val="00D55CAA"/>
    <w:rsid w:val="00D578F8"/>
    <w:rsid w:val="00D60179"/>
    <w:rsid w:val="00D6081B"/>
    <w:rsid w:val="00D6098D"/>
    <w:rsid w:val="00D61109"/>
    <w:rsid w:val="00D616B4"/>
    <w:rsid w:val="00D620FD"/>
    <w:rsid w:val="00D62598"/>
    <w:rsid w:val="00D63962"/>
    <w:rsid w:val="00D63AF3"/>
    <w:rsid w:val="00D63D72"/>
    <w:rsid w:val="00D64207"/>
    <w:rsid w:val="00D6495D"/>
    <w:rsid w:val="00D6500C"/>
    <w:rsid w:val="00D65C16"/>
    <w:rsid w:val="00D65CF9"/>
    <w:rsid w:val="00D66988"/>
    <w:rsid w:val="00D67715"/>
    <w:rsid w:val="00D67D44"/>
    <w:rsid w:val="00D67DAF"/>
    <w:rsid w:val="00D700D8"/>
    <w:rsid w:val="00D70C1C"/>
    <w:rsid w:val="00D70C3D"/>
    <w:rsid w:val="00D70DB9"/>
    <w:rsid w:val="00D72C99"/>
    <w:rsid w:val="00D73210"/>
    <w:rsid w:val="00D739D7"/>
    <w:rsid w:val="00D73F82"/>
    <w:rsid w:val="00D746F0"/>
    <w:rsid w:val="00D756E2"/>
    <w:rsid w:val="00D75C1E"/>
    <w:rsid w:val="00D7639D"/>
    <w:rsid w:val="00D767B8"/>
    <w:rsid w:val="00D771B4"/>
    <w:rsid w:val="00D7746E"/>
    <w:rsid w:val="00D8239B"/>
    <w:rsid w:val="00D8330D"/>
    <w:rsid w:val="00D83580"/>
    <w:rsid w:val="00D8458C"/>
    <w:rsid w:val="00D8587C"/>
    <w:rsid w:val="00D86473"/>
    <w:rsid w:val="00D864CA"/>
    <w:rsid w:val="00D878C8"/>
    <w:rsid w:val="00D87BB1"/>
    <w:rsid w:val="00D9091A"/>
    <w:rsid w:val="00D913F3"/>
    <w:rsid w:val="00D9187F"/>
    <w:rsid w:val="00D92848"/>
    <w:rsid w:val="00D929F4"/>
    <w:rsid w:val="00D92D0A"/>
    <w:rsid w:val="00D92D3D"/>
    <w:rsid w:val="00D94200"/>
    <w:rsid w:val="00D94CBF"/>
    <w:rsid w:val="00D9509E"/>
    <w:rsid w:val="00D954A6"/>
    <w:rsid w:val="00D95D31"/>
    <w:rsid w:val="00D962AD"/>
    <w:rsid w:val="00D96D90"/>
    <w:rsid w:val="00D971EB"/>
    <w:rsid w:val="00DA164B"/>
    <w:rsid w:val="00DA1CF0"/>
    <w:rsid w:val="00DA20A8"/>
    <w:rsid w:val="00DA2433"/>
    <w:rsid w:val="00DA34D8"/>
    <w:rsid w:val="00DA38DD"/>
    <w:rsid w:val="00DA3A5F"/>
    <w:rsid w:val="00DA3B7B"/>
    <w:rsid w:val="00DA56C9"/>
    <w:rsid w:val="00DA60E4"/>
    <w:rsid w:val="00DA62CA"/>
    <w:rsid w:val="00DA6E6B"/>
    <w:rsid w:val="00DA7047"/>
    <w:rsid w:val="00DA73C7"/>
    <w:rsid w:val="00DA74B1"/>
    <w:rsid w:val="00DA7AF1"/>
    <w:rsid w:val="00DB0979"/>
    <w:rsid w:val="00DB0AB3"/>
    <w:rsid w:val="00DB0FB6"/>
    <w:rsid w:val="00DB14A5"/>
    <w:rsid w:val="00DB298E"/>
    <w:rsid w:val="00DB3089"/>
    <w:rsid w:val="00DB38A2"/>
    <w:rsid w:val="00DB3FC7"/>
    <w:rsid w:val="00DB4317"/>
    <w:rsid w:val="00DB452E"/>
    <w:rsid w:val="00DB4CD1"/>
    <w:rsid w:val="00DB4E4A"/>
    <w:rsid w:val="00DB5337"/>
    <w:rsid w:val="00DB7894"/>
    <w:rsid w:val="00DB795D"/>
    <w:rsid w:val="00DC0DD7"/>
    <w:rsid w:val="00DC15AD"/>
    <w:rsid w:val="00DC1EDC"/>
    <w:rsid w:val="00DC224C"/>
    <w:rsid w:val="00DC2611"/>
    <w:rsid w:val="00DC27F5"/>
    <w:rsid w:val="00DC3105"/>
    <w:rsid w:val="00DC3BF4"/>
    <w:rsid w:val="00DC3DF2"/>
    <w:rsid w:val="00DC406B"/>
    <w:rsid w:val="00DC41AC"/>
    <w:rsid w:val="00DC45D9"/>
    <w:rsid w:val="00DC65A4"/>
    <w:rsid w:val="00DC66C3"/>
    <w:rsid w:val="00DC79C0"/>
    <w:rsid w:val="00DD14D2"/>
    <w:rsid w:val="00DD1502"/>
    <w:rsid w:val="00DD1A1F"/>
    <w:rsid w:val="00DD1A80"/>
    <w:rsid w:val="00DD1F3E"/>
    <w:rsid w:val="00DD2B90"/>
    <w:rsid w:val="00DD3ADA"/>
    <w:rsid w:val="00DD424F"/>
    <w:rsid w:val="00DD4C91"/>
    <w:rsid w:val="00DD518D"/>
    <w:rsid w:val="00DD5A7C"/>
    <w:rsid w:val="00DD6485"/>
    <w:rsid w:val="00DD72BB"/>
    <w:rsid w:val="00DD766C"/>
    <w:rsid w:val="00DE03DE"/>
    <w:rsid w:val="00DE06A9"/>
    <w:rsid w:val="00DE0742"/>
    <w:rsid w:val="00DE0E0F"/>
    <w:rsid w:val="00DE25BC"/>
    <w:rsid w:val="00DE30F3"/>
    <w:rsid w:val="00DE3339"/>
    <w:rsid w:val="00DE429D"/>
    <w:rsid w:val="00DE4318"/>
    <w:rsid w:val="00DE4A9A"/>
    <w:rsid w:val="00DE4D30"/>
    <w:rsid w:val="00DE5508"/>
    <w:rsid w:val="00DE696A"/>
    <w:rsid w:val="00DE6A81"/>
    <w:rsid w:val="00DE6CF0"/>
    <w:rsid w:val="00DE6E3B"/>
    <w:rsid w:val="00DE728F"/>
    <w:rsid w:val="00DE7883"/>
    <w:rsid w:val="00DE7AAB"/>
    <w:rsid w:val="00DF1724"/>
    <w:rsid w:val="00DF1F3C"/>
    <w:rsid w:val="00DF1FBD"/>
    <w:rsid w:val="00DF2015"/>
    <w:rsid w:val="00DF3159"/>
    <w:rsid w:val="00DF334E"/>
    <w:rsid w:val="00DF3F26"/>
    <w:rsid w:val="00DF4244"/>
    <w:rsid w:val="00DF4679"/>
    <w:rsid w:val="00DF4700"/>
    <w:rsid w:val="00DF4D6F"/>
    <w:rsid w:val="00DF4F4B"/>
    <w:rsid w:val="00DF50CD"/>
    <w:rsid w:val="00DF6636"/>
    <w:rsid w:val="00DF67AF"/>
    <w:rsid w:val="00DF6929"/>
    <w:rsid w:val="00DF6F04"/>
    <w:rsid w:val="00DF72A2"/>
    <w:rsid w:val="00E0072D"/>
    <w:rsid w:val="00E01779"/>
    <w:rsid w:val="00E0204D"/>
    <w:rsid w:val="00E033AD"/>
    <w:rsid w:val="00E05B6E"/>
    <w:rsid w:val="00E06977"/>
    <w:rsid w:val="00E06EA9"/>
    <w:rsid w:val="00E078DD"/>
    <w:rsid w:val="00E07BAF"/>
    <w:rsid w:val="00E07FED"/>
    <w:rsid w:val="00E10CEE"/>
    <w:rsid w:val="00E11716"/>
    <w:rsid w:val="00E11817"/>
    <w:rsid w:val="00E11E90"/>
    <w:rsid w:val="00E122F6"/>
    <w:rsid w:val="00E123F8"/>
    <w:rsid w:val="00E12B6E"/>
    <w:rsid w:val="00E12C90"/>
    <w:rsid w:val="00E1301D"/>
    <w:rsid w:val="00E14768"/>
    <w:rsid w:val="00E14B8F"/>
    <w:rsid w:val="00E14C88"/>
    <w:rsid w:val="00E14D27"/>
    <w:rsid w:val="00E15148"/>
    <w:rsid w:val="00E153D6"/>
    <w:rsid w:val="00E15A17"/>
    <w:rsid w:val="00E15A8B"/>
    <w:rsid w:val="00E16930"/>
    <w:rsid w:val="00E1732C"/>
    <w:rsid w:val="00E17652"/>
    <w:rsid w:val="00E20022"/>
    <w:rsid w:val="00E21076"/>
    <w:rsid w:val="00E2181F"/>
    <w:rsid w:val="00E2224C"/>
    <w:rsid w:val="00E22A01"/>
    <w:rsid w:val="00E23415"/>
    <w:rsid w:val="00E237D6"/>
    <w:rsid w:val="00E256FD"/>
    <w:rsid w:val="00E25B7D"/>
    <w:rsid w:val="00E26587"/>
    <w:rsid w:val="00E266C3"/>
    <w:rsid w:val="00E267B3"/>
    <w:rsid w:val="00E27B91"/>
    <w:rsid w:val="00E302C5"/>
    <w:rsid w:val="00E30BFA"/>
    <w:rsid w:val="00E30E93"/>
    <w:rsid w:val="00E3100B"/>
    <w:rsid w:val="00E32145"/>
    <w:rsid w:val="00E32294"/>
    <w:rsid w:val="00E32783"/>
    <w:rsid w:val="00E32DAC"/>
    <w:rsid w:val="00E3321F"/>
    <w:rsid w:val="00E335E3"/>
    <w:rsid w:val="00E336AF"/>
    <w:rsid w:val="00E33E51"/>
    <w:rsid w:val="00E33FE2"/>
    <w:rsid w:val="00E3450A"/>
    <w:rsid w:val="00E34614"/>
    <w:rsid w:val="00E3514E"/>
    <w:rsid w:val="00E35A03"/>
    <w:rsid w:val="00E3712C"/>
    <w:rsid w:val="00E3799B"/>
    <w:rsid w:val="00E37E1B"/>
    <w:rsid w:val="00E37EC3"/>
    <w:rsid w:val="00E41390"/>
    <w:rsid w:val="00E41940"/>
    <w:rsid w:val="00E422B4"/>
    <w:rsid w:val="00E43606"/>
    <w:rsid w:val="00E43619"/>
    <w:rsid w:val="00E437F7"/>
    <w:rsid w:val="00E43CCA"/>
    <w:rsid w:val="00E4465E"/>
    <w:rsid w:val="00E449F4"/>
    <w:rsid w:val="00E45A68"/>
    <w:rsid w:val="00E474AF"/>
    <w:rsid w:val="00E474F6"/>
    <w:rsid w:val="00E476C6"/>
    <w:rsid w:val="00E47876"/>
    <w:rsid w:val="00E50694"/>
    <w:rsid w:val="00E50ABB"/>
    <w:rsid w:val="00E5156C"/>
    <w:rsid w:val="00E51C88"/>
    <w:rsid w:val="00E520A5"/>
    <w:rsid w:val="00E524D4"/>
    <w:rsid w:val="00E531F5"/>
    <w:rsid w:val="00E53A65"/>
    <w:rsid w:val="00E53BB2"/>
    <w:rsid w:val="00E554F5"/>
    <w:rsid w:val="00E56CB5"/>
    <w:rsid w:val="00E56E11"/>
    <w:rsid w:val="00E57088"/>
    <w:rsid w:val="00E57986"/>
    <w:rsid w:val="00E579F2"/>
    <w:rsid w:val="00E603AE"/>
    <w:rsid w:val="00E6100A"/>
    <w:rsid w:val="00E61403"/>
    <w:rsid w:val="00E61879"/>
    <w:rsid w:val="00E61A66"/>
    <w:rsid w:val="00E624CE"/>
    <w:rsid w:val="00E62C07"/>
    <w:rsid w:val="00E64B75"/>
    <w:rsid w:val="00E6572B"/>
    <w:rsid w:val="00E658BC"/>
    <w:rsid w:val="00E65A06"/>
    <w:rsid w:val="00E65BC3"/>
    <w:rsid w:val="00E66E67"/>
    <w:rsid w:val="00E6788C"/>
    <w:rsid w:val="00E678AD"/>
    <w:rsid w:val="00E70E24"/>
    <w:rsid w:val="00E71798"/>
    <w:rsid w:val="00E72CA0"/>
    <w:rsid w:val="00E72D55"/>
    <w:rsid w:val="00E73854"/>
    <w:rsid w:val="00E73E85"/>
    <w:rsid w:val="00E75269"/>
    <w:rsid w:val="00E753A5"/>
    <w:rsid w:val="00E75DB6"/>
    <w:rsid w:val="00E75FA1"/>
    <w:rsid w:val="00E7620E"/>
    <w:rsid w:val="00E765D3"/>
    <w:rsid w:val="00E77374"/>
    <w:rsid w:val="00E77E58"/>
    <w:rsid w:val="00E804CE"/>
    <w:rsid w:val="00E80AAA"/>
    <w:rsid w:val="00E83A40"/>
    <w:rsid w:val="00E841DD"/>
    <w:rsid w:val="00E843AB"/>
    <w:rsid w:val="00E85D41"/>
    <w:rsid w:val="00E85FC6"/>
    <w:rsid w:val="00E87EEC"/>
    <w:rsid w:val="00E905AD"/>
    <w:rsid w:val="00E908F5"/>
    <w:rsid w:val="00E9106B"/>
    <w:rsid w:val="00E914EA"/>
    <w:rsid w:val="00E92153"/>
    <w:rsid w:val="00E92CC5"/>
    <w:rsid w:val="00E92D0B"/>
    <w:rsid w:val="00E932AA"/>
    <w:rsid w:val="00E93641"/>
    <w:rsid w:val="00E936DD"/>
    <w:rsid w:val="00E9387B"/>
    <w:rsid w:val="00E93AAF"/>
    <w:rsid w:val="00E93D60"/>
    <w:rsid w:val="00E93F31"/>
    <w:rsid w:val="00E957F5"/>
    <w:rsid w:val="00E961DF"/>
    <w:rsid w:val="00E96A57"/>
    <w:rsid w:val="00E97033"/>
    <w:rsid w:val="00E97178"/>
    <w:rsid w:val="00E97194"/>
    <w:rsid w:val="00E9754F"/>
    <w:rsid w:val="00EA14A1"/>
    <w:rsid w:val="00EA23BB"/>
    <w:rsid w:val="00EA2EBE"/>
    <w:rsid w:val="00EA3BA2"/>
    <w:rsid w:val="00EA3FC7"/>
    <w:rsid w:val="00EA431F"/>
    <w:rsid w:val="00EA43AA"/>
    <w:rsid w:val="00EA4729"/>
    <w:rsid w:val="00EA4899"/>
    <w:rsid w:val="00EA48D1"/>
    <w:rsid w:val="00EA4A15"/>
    <w:rsid w:val="00EA6004"/>
    <w:rsid w:val="00EA6076"/>
    <w:rsid w:val="00EA630C"/>
    <w:rsid w:val="00EA6448"/>
    <w:rsid w:val="00EA67FA"/>
    <w:rsid w:val="00EA6FE7"/>
    <w:rsid w:val="00EA7D1B"/>
    <w:rsid w:val="00EB08AC"/>
    <w:rsid w:val="00EB0B9C"/>
    <w:rsid w:val="00EB1ABF"/>
    <w:rsid w:val="00EB348A"/>
    <w:rsid w:val="00EB3CD7"/>
    <w:rsid w:val="00EB3FB3"/>
    <w:rsid w:val="00EB53D3"/>
    <w:rsid w:val="00EB5409"/>
    <w:rsid w:val="00EB70F6"/>
    <w:rsid w:val="00EB71A7"/>
    <w:rsid w:val="00EB79B9"/>
    <w:rsid w:val="00EB7A04"/>
    <w:rsid w:val="00EB7A5E"/>
    <w:rsid w:val="00EC03EF"/>
    <w:rsid w:val="00EC048C"/>
    <w:rsid w:val="00EC13C2"/>
    <w:rsid w:val="00EC17FD"/>
    <w:rsid w:val="00EC20D6"/>
    <w:rsid w:val="00EC2479"/>
    <w:rsid w:val="00EC3AA2"/>
    <w:rsid w:val="00EC5E3B"/>
    <w:rsid w:val="00EC6104"/>
    <w:rsid w:val="00EC624D"/>
    <w:rsid w:val="00EC69C0"/>
    <w:rsid w:val="00EC79D0"/>
    <w:rsid w:val="00ED009C"/>
    <w:rsid w:val="00ED0F0C"/>
    <w:rsid w:val="00ED14CF"/>
    <w:rsid w:val="00ED2786"/>
    <w:rsid w:val="00ED3E41"/>
    <w:rsid w:val="00ED49DF"/>
    <w:rsid w:val="00ED4A14"/>
    <w:rsid w:val="00ED4A98"/>
    <w:rsid w:val="00ED4F81"/>
    <w:rsid w:val="00ED5148"/>
    <w:rsid w:val="00ED51B8"/>
    <w:rsid w:val="00ED5449"/>
    <w:rsid w:val="00ED5C07"/>
    <w:rsid w:val="00ED7A7D"/>
    <w:rsid w:val="00EE004F"/>
    <w:rsid w:val="00EE0E7A"/>
    <w:rsid w:val="00EE1416"/>
    <w:rsid w:val="00EE19DB"/>
    <w:rsid w:val="00EE1A97"/>
    <w:rsid w:val="00EE1B02"/>
    <w:rsid w:val="00EE26FE"/>
    <w:rsid w:val="00EE3614"/>
    <w:rsid w:val="00EE43DF"/>
    <w:rsid w:val="00EE60D5"/>
    <w:rsid w:val="00EE67BF"/>
    <w:rsid w:val="00EE7099"/>
    <w:rsid w:val="00EE73D2"/>
    <w:rsid w:val="00EF0AFE"/>
    <w:rsid w:val="00EF0B12"/>
    <w:rsid w:val="00EF0F82"/>
    <w:rsid w:val="00EF1A77"/>
    <w:rsid w:val="00EF24DB"/>
    <w:rsid w:val="00EF3516"/>
    <w:rsid w:val="00EF39DD"/>
    <w:rsid w:val="00EF3B94"/>
    <w:rsid w:val="00EF3FA0"/>
    <w:rsid w:val="00EF50BD"/>
    <w:rsid w:val="00EF5A55"/>
    <w:rsid w:val="00EF6B26"/>
    <w:rsid w:val="00EF7CDE"/>
    <w:rsid w:val="00F004BE"/>
    <w:rsid w:val="00F00AF2"/>
    <w:rsid w:val="00F02E96"/>
    <w:rsid w:val="00F03ECD"/>
    <w:rsid w:val="00F0466E"/>
    <w:rsid w:val="00F04BFB"/>
    <w:rsid w:val="00F056F7"/>
    <w:rsid w:val="00F06ED2"/>
    <w:rsid w:val="00F07470"/>
    <w:rsid w:val="00F07871"/>
    <w:rsid w:val="00F107C3"/>
    <w:rsid w:val="00F10FF7"/>
    <w:rsid w:val="00F11919"/>
    <w:rsid w:val="00F121D7"/>
    <w:rsid w:val="00F128AA"/>
    <w:rsid w:val="00F12C78"/>
    <w:rsid w:val="00F130A8"/>
    <w:rsid w:val="00F13169"/>
    <w:rsid w:val="00F14025"/>
    <w:rsid w:val="00F14109"/>
    <w:rsid w:val="00F1415C"/>
    <w:rsid w:val="00F14D00"/>
    <w:rsid w:val="00F15612"/>
    <w:rsid w:val="00F15A90"/>
    <w:rsid w:val="00F15BA4"/>
    <w:rsid w:val="00F15BB0"/>
    <w:rsid w:val="00F15CCC"/>
    <w:rsid w:val="00F15E04"/>
    <w:rsid w:val="00F16E94"/>
    <w:rsid w:val="00F17A6E"/>
    <w:rsid w:val="00F221B8"/>
    <w:rsid w:val="00F23586"/>
    <w:rsid w:val="00F2564B"/>
    <w:rsid w:val="00F26578"/>
    <w:rsid w:val="00F266EB"/>
    <w:rsid w:val="00F26B43"/>
    <w:rsid w:val="00F27B4C"/>
    <w:rsid w:val="00F3029A"/>
    <w:rsid w:val="00F3098D"/>
    <w:rsid w:val="00F30B13"/>
    <w:rsid w:val="00F3193D"/>
    <w:rsid w:val="00F324ED"/>
    <w:rsid w:val="00F33878"/>
    <w:rsid w:val="00F346CB"/>
    <w:rsid w:val="00F35812"/>
    <w:rsid w:val="00F3608E"/>
    <w:rsid w:val="00F36235"/>
    <w:rsid w:val="00F36887"/>
    <w:rsid w:val="00F36A2A"/>
    <w:rsid w:val="00F36C9D"/>
    <w:rsid w:val="00F36FB2"/>
    <w:rsid w:val="00F41129"/>
    <w:rsid w:val="00F42613"/>
    <w:rsid w:val="00F43014"/>
    <w:rsid w:val="00F44920"/>
    <w:rsid w:val="00F44D89"/>
    <w:rsid w:val="00F450C6"/>
    <w:rsid w:val="00F454B2"/>
    <w:rsid w:val="00F455EA"/>
    <w:rsid w:val="00F45636"/>
    <w:rsid w:val="00F459C5"/>
    <w:rsid w:val="00F45B3C"/>
    <w:rsid w:val="00F463FF"/>
    <w:rsid w:val="00F46DB5"/>
    <w:rsid w:val="00F473A9"/>
    <w:rsid w:val="00F47E64"/>
    <w:rsid w:val="00F47F50"/>
    <w:rsid w:val="00F50315"/>
    <w:rsid w:val="00F5045D"/>
    <w:rsid w:val="00F510BA"/>
    <w:rsid w:val="00F52B29"/>
    <w:rsid w:val="00F5340E"/>
    <w:rsid w:val="00F53845"/>
    <w:rsid w:val="00F5399D"/>
    <w:rsid w:val="00F543A1"/>
    <w:rsid w:val="00F55B6C"/>
    <w:rsid w:val="00F5610E"/>
    <w:rsid w:val="00F56BA4"/>
    <w:rsid w:val="00F57045"/>
    <w:rsid w:val="00F608F2"/>
    <w:rsid w:val="00F6127F"/>
    <w:rsid w:val="00F62132"/>
    <w:rsid w:val="00F62EEE"/>
    <w:rsid w:val="00F64422"/>
    <w:rsid w:val="00F64460"/>
    <w:rsid w:val="00F645C1"/>
    <w:rsid w:val="00F6544C"/>
    <w:rsid w:val="00F65597"/>
    <w:rsid w:val="00F6575D"/>
    <w:rsid w:val="00F657A2"/>
    <w:rsid w:val="00F65843"/>
    <w:rsid w:val="00F66798"/>
    <w:rsid w:val="00F66E1C"/>
    <w:rsid w:val="00F6706F"/>
    <w:rsid w:val="00F674B4"/>
    <w:rsid w:val="00F70B92"/>
    <w:rsid w:val="00F70F84"/>
    <w:rsid w:val="00F7149B"/>
    <w:rsid w:val="00F72851"/>
    <w:rsid w:val="00F72E7D"/>
    <w:rsid w:val="00F75321"/>
    <w:rsid w:val="00F75A18"/>
    <w:rsid w:val="00F76533"/>
    <w:rsid w:val="00F765A6"/>
    <w:rsid w:val="00F8092B"/>
    <w:rsid w:val="00F8093B"/>
    <w:rsid w:val="00F80B38"/>
    <w:rsid w:val="00F82C9A"/>
    <w:rsid w:val="00F82D3D"/>
    <w:rsid w:val="00F83207"/>
    <w:rsid w:val="00F8320F"/>
    <w:rsid w:val="00F83284"/>
    <w:rsid w:val="00F8345E"/>
    <w:rsid w:val="00F83466"/>
    <w:rsid w:val="00F83601"/>
    <w:rsid w:val="00F837D7"/>
    <w:rsid w:val="00F83FD5"/>
    <w:rsid w:val="00F85700"/>
    <w:rsid w:val="00F85734"/>
    <w:rsid w:val="00F86104"/>
    <w:rsid w:val="00F87CC3"/>
    <w:rsid w:val="00F90924"/>
    <w:rsid w:val="00F90E77"/>
    <w:rsid w:val="00F919D9"/>
    <w:rsid w:val="00F91FFD"/>
    <w:rsid w:val="00F92374"/>
    <w:rsid w:val="00F92517"/>
    <w:rsid w:val="00F92813"/>
    <w:rsid w:val="00F9372D"/>
    <w:rsid w:val="00F93DAA"/>
    <w:rsid w:val="00F941F7"/>
    <w:rsid w:val="00F946C0"/>
    <w:rsid w:val="00F9488E"/>
    <w:rsid w:val="00F94F8C"/>
    <w:rsid w:val="00F95A4E"/>
    <w:rsid w:val="00F962D8"/>
    <w:rsid w:val="00F964BE"/>
    <w:rsid w:val="00F97410"/>
    <w:rsid w:val="00FA0300"/>
    <w:rsid w:val="00FA04EC"/>
    <w:rsid w:val="00FA068E"/>
    <w:rsid w:val="00FA0893"/>
    <w:rsid w:val="00FA1043"/>
    <w:rsid w:val="00FA1D83"/>
    <w:rsid w:val="00FA268A"/>
    <w:rsid w:val="00FA26E2"/>
    <w:rsid w:val="00FA2BE7"/>
    <w:rsid w:val="00FA360C"/>
    <w:rsid w:val="00FA3A26"/>
    <w:rsid w:val="00FA3B83"/>
    <w:rsid w:val="00FA3BE2"/>
    <w:rsid w:val="00FA3CBD"/>
    <w:rsid w:val="00FA439C"/>
    <w:rsid w:val="00FA4702"/>
    <w:rsid w:val="00FA492C"/>
    <w:rsid w:val="00FA4B0C"/>
    <w:rsid w:val="00FA4ED2"/>
    <w:rsid w:val="00FA512F"/>
    <w:rsid w:val="00FA59DE"/>
    <w:rsid w:val="00FA72A1"/>
    <w:rsid w:val="00FA78ED"/>
    <w:rsid w:val="00FB07BF"/>
    <w:rsid w:val="00FB0CAD"/>
    <w:rsid w:val="00FB1205"/>
    <w:rsid w:val="00FB1A45"/>
    <w:rsid w:val="00FB2966"/>
    <w:rsid w:val="00FB3706"/>
    <w:rsid w:val="00FB37E4"/>
    <w:rsid w:val="00FB3BC6"/>
    <w:rsid w:val="00FB5645"/>
    <w:rsid w:val="00FB58A1"/>
    <w:rsid w:val="00FB6102"/>
    <w:rsid w:val="00FB6652"/>
    <w:rsid w:val="00FB6AEC"/>
    <w:rsid w:val="00FB73E5"/>
    <w:rsid w:val="00FB7891"/>
    <w:rsid w:val="00FC04B6"/>
    <w:rsid w:val="00FC0A70"/>
    <w:rsid w:val="00FC2D66"/>
    <w:rsid w:val="00FC3088"/>
    <w:rsid w:val="00FC3401"/>
    <w:rsid w:val="00FC3697"/>
    <w:rsid w:val="00FC446E"/>
    <w:rsid w:val="00FC5380"/>
    <w:rsid w:val="00FC549D"/>
    <w:rsid w:val="00FC60B3"/>
    <w:rsid w:val="00FC62C5"/>
    <w:rsid w:val="00FC6778"/>
    <w:rsid w:val="00FC68D6"/>
    <w:rsid w:val="00FC6F0E"/>
    <w:rsid w:val="00FC7BC4"/>
    <w:rsid w:val="00FC7C6C"/>
    <w:rsid w:val="00FD0114"/>
    <w:rsid w:val="00FD04CB"/>
    <w:rsid w:val="00FD0959"/>
    <w:rsid w:val="00FD0F01"/>
    <w:rsid w:val="00FD13AE"/>
    <w:rsid w:val="00FD1979"/>
    <w:rsid w:val="00FD19FA"/>
    <w:rsid w:val="00FD1A1F"/>
    <w:rsid w:val="00FD2605"/>
    <w:rsid w:val="00FD338E"/>
    <w:rsid w:val="00FD39ED"/>
    <w:rsid w:val="00FD4460"/>
    <w:rsid w:val="00FD47D6"/>
    <w:rsid w:val="00FD493D"/>
    <w:rsid w:val="00FD4E53"/>
    <w:rsid w:val="00FD601E"/>
    <w:rsid w:val="00FD672B"/>
    <w:rsid w:val="00FD6ECB"/>
    <w:rsid w:val="00FD71F3"/>
    <w:rsid w:val="00FD771F"/>
    <w:rsid w:val="00FD7723"/>
    <w:rsid w:val="00FD7A59"/>
    <w:rsid w:val="00FE088F"/>
    <w:rsid w:val="00FE11A0"/>
    <w:rsid w:val="00FE1527"/>
    <w:rsid w:val="00FE1710"/>
    <w:rsid w:val="00FE1C9E"/>
    <w:rsid w:val="00FE2001"/>
    <w:rsid w:val="00FE2E7A"/>
    <w:rsid w:val="00FE3282"/>
    <w:rsid w:val="00FE43B4"/>
    <w:rsid w:val="00FE44FE"/>
    <w:rsid w:val="00FE452F"/>
    <w:rsid w:val="00FE4D4F"/>
    <w:rsid w:val="00FE54B3"/>
    <w:rsid w:val="00FF1B02"/>
    <w:rsid w:val="00FF1F74"/>
    <w:rsid w:val="00FF226A"/>
    <w:rsid w:val="00FF2601"/>
    <w:rsid w:val="00FF39E8"/>
    <w:rsid w:val="00FF47A9"/>
    <w:rsid w:val="00FF4D9B"/>
    <w:rsid w:val="00FF6FE8"/>
    <w:rsid w:val="00FF74EA"/>
    <w:rsid w:val="00FF7D96"/>
    <w:rsid w:val="024D4DBF"/>
    <w:rsid w:val="06557488"/>
    <w:rsid w:val="09506DC0"/>
    <w:rsid w:val="09532A47"/>
    <w:rsid w:val="0D165505"/>
    <w:rsid w:val="0F035E1A"/>
    <w:rsid w:val="10616363"/>
    <w:rsid w:val="192C6CB1"/>
    <w:rsid w:val="19933EC8"/>
    <w:rsid w:val="1B394D34"/>
    <w:rsid w:val="1BBE6686"/>
    <w:rsid w:val="206B4A82"/>
    <w:rsid w:val="21E41D88"/>
    <w:rsid w:val="2446522A"/>
    <w:rsid w:val="247C6E9E"/>
    <w:rsid w:val="29CE6480"/>
    <w:rsid w:val="2A63608A"/>
    <w:rsid w:val="2B326508"/>
    <w:rsid w:val="2C4D1210"/>
    <w:rsid w:val="2D067C4C"/>
    <w:rsid w:val="2D4E4EA2"/>
    <w:rsid w:val="33A75DDF"/>
    <w:rsid w:val="34791530"/>
    <w:rsid w:val="3709217A"/>
    <w:rsid w:val="389C54E6"/>
    <w:rsid w:val="40F942DC"/>
    <w:rsid w:val="43371E77"/>
    <w:rsid w:val="435E18D1"/>
    <w:rsid w:val="43ED0DC6"/>
    <w:rsid w:val="448626EB"/>
    <w:rsid w:val="47E250E6"/>
    <w:rsid w:val="482B5C50"/>
    <w:rsid w:val="488B1F70"/>
    <w:rsid w:val="497F13E4"/>
    <w:rsid w:val="49F36E0F"/>
    <w:rsid w:val="4A4174D1"/>
    <w:rsid w:val="4F0E0EE6"/>
    <w:rsid w:val="52FD1026"/>
    <w:rsid w:val="53C93D09"/>
    <w:rsid w:val="54A3007E"/>
    <w:rsid w:val="587A0A23"/>
    <w:rsid w:val="59441031"/>
    <w:rsid w:val="61FE227F"/>
    <w:rsid w:val="62322322"/>
    <w:rsid w:val="6470717E"/>
    <w:rsid w:val="6A236A13"/>
    <w:rsid w:val="6ABE1802"/>
    <w:rsid w:val="6D7C167E"/>
    <w:rsid w:val="707B75D6"/>
    <w:rsid w:val="70980188"/>
    <w:rsid w:val="72F12FCE"/>
    <w:rsid w:val="766534AD"/>
    <w:rsid w:val="776F1882"/>
    <w:rsid w:val="7B4C229B"/>
    <w:rsid w:val="7C63164A"/>
    <w:rsid w:val="7CA9524F"/>
    <w:rsid w:val="FF557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1205" w:firstLineChars="200"/>
      <w:jc w:val="both"/>
    </w:pPr>
    <w:rPr>
      <w:rFonts w:ascii="Times New Roman" w:hAnsi="Times New Roman" w:eastAsia="方正仿宋_GBK" w:cstheme="minorBidi"/>
      <w:kern w:val="2"/>
      <w:sz w:val="32"/>
      <w:szCs w:val="24"/>
      <w:lang w:val="en-US" w:eastAsia="zh-CN" w:bidi="ar-SA"/>
    </w:rPr>
  </w:style>
  <w:style w:type="paragraph" w:styleId="4">
    <w:name w:val="heading 1"/>
    <w:basedOn w:val="1"/>
    <w:next w:val="1"/>
    <w:link w:val="27"/>
    <w:qFormat/>
    <w:uiPriority w:val="9"/>
    <w:pPr>
      <w:widowControl/>
      <w:spacing w:before="100" w:beforeAutospacing="1" w:after="100" w:afterAutospacing="1"/>
      <w:jc w:val="left"/>
      <w:outlineLvl w:val="0"/>
    </w:pPr>
    <w:rPr>
      <w:rFonts w:eastAsia="黑体" w:cs="Times New Roman"/>
      <w:b/>
      <w:bCs/>
      <w:kern w:val="36"/>
      <w:szCs w:val="32"/>
    </w:rPr>
  </w:style>
  <w:style w:type="paragraph" w:styleId="5">
    <w:name w:val="heading 2"/>
    <w:basedOn w:val="1"/>
    <w:next w:val="1"/>
    <w:link w:val="96"/>
    <w:semiHidden/>
    <w:unhideWhenUsed/>
    <w:qFormat/>
    <w:uiPriority w:val="9"/>
    <w:pPr>
      <w:keepNext/>
      <w:keepLines/>
      <w:spacing w:before="260" w:after="260" w:line="416" w:lineRule="atLeast"/>
      <w:outlineLvl w:val="1"/>
    </w:pPr>
    <w:rPr>
      <w:rFonts w:asciiTheme="majorHAnsi" w:hAnsiTheme="majorHAnsi" w:eastAsiaTheme="majorEastAsia" w:cstheme="majorBidi"/>
      <w:b/>
      <w:bCs/>
      <w:szCs w:val="32"/>
    </w:rPr>
  </w:style>
  <w:style w:type="paragraph" w:styleId="6">
    <w:name w:val="heading 3"/>
    <w:basedOn w:val="1"/>
    <w:next w:val="1"/>
    <w:link w:val="87"/>
    <w:semiHidden/>
    <w:unhideWhenUsed/>
    <w:qFormat/>
    <w:uiPriority w:val="9"/>
    <w:pPr>
      <w:keepNext/>
      <w:keepLines/>
      <w:spacing w:before="260" w:after="260" w:line="416" w:lineRule="auto"/>
      <w:outlineLvl w:val="2"/>
    </w:pPr>
    <w:rPr>
      <w:b/>
      <w:bCs/>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link w:val="94"/>
    <w:qFormat/>
    <w:uiPriority w:val="10"/>
    <w:pPr>
      <w:spacing w:before="240" w:after="60" w:line="500" w:lineRule="exact"/>
      <w:ind w:firstLine="200"/>
      <w:jc w:val="center"/>
      <w:outlineLvl w:val="0"/>
    </w:pPr>
    <w:rPr>
      <w:rFonts w:ascii="Arial" w:hAnsi="Arial" w:eastAsia="宋体" w:cs="Times New Roman"/>
      <w:b/>
      <w:szCs w:val="22"/>
    </w:rPr>
  </w:style>
  <w:style w:type="paragraph" w:styleId="3">
    <w:name w:val="Body Text Indent"/>
    <w:basedOn w:val="1"/>
    <w:link w:val="85"/>
    <w:semiHidden/>
    <w:unhideWhenUsed/>
    <w:qFormat/>
    <w:uiPriority w:val="99"/>
    <w:pPr>
      <w:spacing w:after="120"/>
      <w:ind w:left="420" w:leftChars="200"/>
    </w:pPr>
  </w:style>
  <w:style w:type="paragraph" w:styleId="7">
    <w:name w:val="annotation text"/>
    <w:basedOn w:val="1"/>
    <w:link w:val="77"/>
    <w:unhideWhenUsed/>
    <w:qFormat/>
    <w:uiPriority w:val="99"/>
    <w:pPr>
      <w:jc w:val="left"/>
    </w:pPr>
  </w:style>
  <w:style w:type="paragraph" w:styleId="8">
    <w:name w:val="Body Text"/>
    <w:basedOn w:val="1"/>
    <w:link w:val="80"/>
    <w:unhideWhenUsed/>
    <w:qFormat/>
    <w:uiPriority w:val="99"/>
    <w:pPr>
      <w:spacing w:after="120"/>
    </w:pPr>
  </w:style>
  <w:style w:type="paragraph" w:styleId="9">
    <w:name w:val="toc 3"/>
    <w:basedOn w:val="1"/>
    <w:next w:val="1"/>
    <w:autoRedefine/>
    <w:unhideWhenUsed/>
    <w:qFormat/>
    <w:uiPriority w:val="39"/>
    <w:pPr>
      <w:widowControl/>
      <w:spacing w:after="100" w:line="259" w:lineRule="auto"/>
      <w:ind w:left="440"/>
      <w:jc w:val="left"/>
    </w:pPr>
    <w:rPr>
      <w:rFonts w:cs="Times New Roman"/>
      <w:kern w:val="0"/>
      <w:sz w:val="22"/>
      <w:szCs w:val="22"/>
    </w:rPr>
  </w:style>
  <w:style w:type="paragraph" w:styleId="10">
    <w:name w:val="Balloon Text"/>
    <w:basedOn w:val="1"/>
    <w:link w:val="79"/>
    <w:unhideWhenUsed/>
    <w:qFormat/>
    <w:uiPriority w:val="99"/>
    <w:rPr>
      <w:sz w:val="18"/>
      <w:szCs w:val="18"/>
    </w:rPr>
  </w:style>
  <w:style w:type="paragraph" w:styleId="11">
    <w:name w:val="footer"/>
    <w:basedOn w:val="1"/>
    <w:link w:val="28"/>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pPr>
      <w:widowControl/>
      <w:spacing w:after="100" w:line="259" w:lineRule="auto"/>
      <w:jc w:val="left"/>
    </w:pPr>
    <w:rPr>
      <w:rFonts w:cs="Times New Roman"/>
      <w:kern w:val="0"/>
      <w:sz w:val="22"/>
      <w:szCs w:val="22"/>
    </w:rPr>
  </w:style>
  <w:style w:type="paragraph" w:styleId="14">
    <w:name w:val="toc 2"/>
    <w:basedOn w:val="1"/>
    <w:next w:val="1"/>
    <w:autoRedefine/>
    <w:unhideWhenUsed/>
    <w:qFormat/>
    <w:uiPriority w:val="39"/>
    <w:pPr>
      <w:widowControl/>
      <w:spacing w:after="100" w:line="259" w:lineRule="auto"/>
      <w:ind w:left="220"/>
      <w:jc w:val="left"/>
    </w:pPr>
    <w:rPr>
      <w:rFonts w:cs="Times New Roman"/>
      <w:kern w:val="0"/>
      <w:sz w:val="22"/>
      <w:szCs w:val="22"/>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6">
    <w:name w:val="annotation subject"/>
    <w:basedOn w:val="7"/>
    <w:next w:val="7"/>
    <w:link w:val="78"/>
    <w:unhideWhenUsed/>
    <w:qFormat/>
    <w:uiPriority w:val="99"/>
    <w:rPr>
      <w:b/>
      <w:bCs/>
    </w:rPr>
  </w:style>
  <w:style w:type="paragraph" w:styleId="17">
    <w:name w:val="Body Text First Indent"/>
    <w:link w:val="81"/>
    <w:unhideWhenUsed/>
    <w:qFormat/>
    <w:uiPriority w:val="99"/>
    <w:pPr>
      <w:spacing w:line="360" w:lineRule="auto"/>
      <w:ind w:firstLine="200" w:firstLineChars="200"/>
    </w:pPr>
    <w:rPr>
      <w:rFonts w:ascii="宋体" w:hAnsi="宋体" w:eastAsia="宋体" w:cs="Times New Roman"/>
      <w:kern w:val="2"/>
      <w:sz w:val="24"/>
      <w:szCs w:val="21"/>
      <w:lang w:val="en-US" w:eastAsia="zh-CN" w:bidi="ar-SA"/>
    </w:rPr>
  </w:style>
  <w:style w:type="paragraph" w:styleId="18">
    <w:name w:val="Body Text First Indent 2"/>
    <w:basedOn w:val="3"/>
    <w:link w:val="86"/>
    <w:qFormat/>
    <w:uiPriority w:val="0"/>
    <w:pPr>
      <w:ind w:firstLine="420"/>
    </w:pPr>
    <w:rPr>
      <w:rFonts w:ascii="Calibri" w:hAnsi="Calibri" w:eastAsia="宋体" w:cs="Times New Roman"/>
      <w:sz w:val="24"/>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FollowedHyperlink"/>
    <w:basedOn w:val="21"/>
    <w:unhideWhenUsed/>
    <w:qFormat/>
    <w:uiPriority w:val="99"/>
    <w:rPr>
      <w:color w:val="954F72"/>
      <w:u w:val="single"/>
    </w:rPr>
  </w:style>
  <w:style w:type="character" w:styleId="24">
    <w:name w:val="Hyperlink"/>
    <w:basedOn w:val="21"/>
    <w:unhideWhenUsed/>
    <w:qFormat/>
    <w:uiPriority w:val="99"/>
    <w:rPr>
      <w:color w:val="0000FF"/>
      <w:u w:val="single"/>
    </w:rPr>
  </w:style>
  <w:style w:type="character" w:styleId="25">
    <w:name w:val="annotation reference"/>
    <w:basedOn w:val="21"/>
    <w:unhideWhenUsed/>
    <w:qFormat/>
    <w:uiPriority w:val="99"/>
    <w:rPr>
      <w:sz w:val="21"/>
      <w:szCs w:val="21"/>
    </w:rPr>
  </w:style>
  <w:style w:type="paragraph" w:customStyle="1" w:styleId="26">
    <w:name w:val="表格文字"/>
    <w:basedOn w:val="1"/>
    <w:link w:val="95"/>
    <w:qFormat/>
    <w:uiPriority w:val="0"/>
    <w:pPr>
      <w:adjustRightInd w:val="0"/>
      <w:snapToGrid w:val="0"/>
      <w:spacing w:line="240" w:lineRule="auto"/>
      <w:ind w:firstLine="0" w:firstLineChars="0"/>
      <w:jc w:val="center"/>
    </w:pPr>
    <w:rPr>
      <w:rFonts w:cs="宋体"/>
      <w:spacing w:val="6"/>
      <w:sz w:val="24"/>
      <w:szCs w:val="21"/>
      <w:lang w:eastAsia="en-US"/>
    </w:rPr>
  </w:style>
  <w:style w:type="character" w:customStyle="1" w:styleId="27">
    <w:name w:val="标题 1 字符"/>
    <w:link w:val="4"/>
    <w:qFormat/>
    <w:uiPriority w:val="9"/>
    <w:rPr>
      <w:rFonts w:ascii="Times New Roman" w:hAnsi="Times New Roman" w:eastAsia="黑体" w:cs="Times New Roman"/>
      <w:b/>
      <w:bCs/>
      <w:color w:val="auto"/>
      <w:kern w:val="36"/>
      <w:sz w:val="32"/>
      <w:szCs w:val="32"/>
      <w:lang w:val="en-US" w:eastAsia="zh-CN" w:bidi="ar-SA"/>
    </w:rPr>
  </w:style>
  <w:style w:type="character" w:customStyle="1" w:styleId="28">
    <w:name w:val="页脚 字符"/>
    <w:basedOn w:val="21"/>
    <w:link w:val="11"/>
    <w:qFormat/>
    <w:uiPriority w:val="99"/>
    <w:rPr>
      <w:sz w:val="18"/>
      <w:szCs w:val="18"/>
    </w:rPr>
  </w:style>
  <w:style w:type="character" w:customStyle="1" w:styleId="29">
    <w:name w:val="页眉 字符"/>
    <w:basedOn w:val="21"/>
    <w:link w:val="12"/>
    <w:qFormat/>
    <w:uiPriority w:val="99"/>
    <w:rPr>
      <w:sz w:val="18"/>
      <w:szCs w:val="18"/>
    </w:rPr>
  </w:style>
  <w:style w:type="paragraph" w:customStyle="1" w:styleId="30">
    <w:name w:val="列表段落1"/>
    <w:basedOn w:val="1"/>
    <w:qFormat/>
    <w:uiPriority w:val="1"/>
    <w:pPr>
      <w:ind w:firstLine="420"/>
    </w:pPr>
  </w:style>
  <w:style w:type="paragraph" w:customStyle="1" w:styleId="31">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2">
    <w:name w:val="font5"/>
    <w:basedOn w:val="1"/>
    <w:qFormat/>
    <w:uiPriority w:val="0"/>
    <w:pPr>
      <w:widowControl/>
      <w:spacing w:before="100" w:beforeAutospacing="1" w:after="100" w:afterAutospacing="1"/>
      <w:jc w:val="left"/>
    </w:pPr>
    <w:rPr>
      <w:rFonts w:ascii="方正仿宋_GBK" w:hAnsi="方正仿宋_GBK" w:cs="方正仿宋_GBK"/>
      <w:kern w:val="0"/>
      <w:sz w:val="20"/>
      <w:szCs w:val="20"/>
    </w:rPr>
  </w:style>
  <w:style w:type="paragraph" w:customStyle="1" w:styleId="33">
    <w:name w:val="font6"/>
    <w:basedOn w:val="1"/>
    <w:qFormat/>
    <w:uiPriority w:val="0"/>
    <w:pPr>
      <w:widowControl/>
      <w:spacing w:before="100" w:beforeAutospacing="1" w:after="100" w:afterAutospacing="1"/>
      <w:jc w:val="left"/>
    </w:pPr>
    <w:rPr>
      <w:rFonts w:ascii="方正仿宋_GBK" w:hAnsi="方正仿宋_GBK" w:cs="方正仿宋_GBK"/>
      <w:color w:val="000000"/>
      <w:kern w:val="0"/>
      <w:sz w:val="20"/>
      <w:szCs w:val="20"/>
    </w:rPr>
  </w:style>
  <w:style w:type="paragraph" w:customStyle="1" w:styleId="34">
    <w:name w:val="font7"/>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5">
    <w:name w:val="font8"/>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6">
    <w:name w:val="xl65"/>
    <w:basedOn w:val="1"/>
    <w:qFormat/>
    <w:uiPriority w:val="0"/>
    <w:pPr>
      <w:widowControl/>
      <w:spacing w:before="100" w:beforeAutospacing="1" w:after="100" w:afterAutospacing="1"/>
      <w:jc w:val="left"/>
    </w:pPr>
    <w:rPr>
      <w:rFonts w:ascii="宋体" w:hAnsi="宋体" w:eastAsia="宋体" w:cs="宋体"/>
      <w:kern w:val="0"/>
      <w:sz w:val="36"/>
      <w:szCs w:val="36"/>
    </w:rPr>
  </w:style>
  <w:style w:type="paragraph" w:customStyle="1" w:styleId="37">
    <w:name w:val="xl66"/>
    <w:basedOn w:val="1"/>
    <w:qFormat/>
    <w:uiPriority w:val="0"/>
    <w:pPr>
      <w:widowControl/>
      <w:spacing w:before="100" w:beforeAutospacing="1" w:after="100" w:afterAutospacing="1"/>
      <w:jc w:val="left"/>
      <w:textAlignment w:val="bottom"/>
    </w:pPr>
    <w:rPr>
      <w:rFonts w:ascii="宋体" w:hAnsi="宋体" w:eastAsia="宋体" w:cs="宋体"/>
      <w:kern w:val="0"/>
      <w:sz w:val="22"/>
      <w:szCs w:val="22"/>
    </w:rPr>
  </w:style>
  <w:style w:type="paragraph" w:customStyle="1" w:styleId="38">
    <w:name w:val="xl67"/>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9">
    <w:name w:val="xl6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0">
    <w:name w:val="xl69"/>
    <w:basedOn w:val="1"/>
    <w:qFormat/>
    <w:uiPriority w:val="0"/>
    <w:pPr>
      <w:widowControl/>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41">
    <w:name w:val="xl70"/>
    <w:basedOn w:val="1"/>
    <w:qFormat/>
    <w:uiPriority w:val="0"/>
    <w:pPr>
      <w:widowControl/>
      <w:pBdr>
        <w:top w:val="single" w:color="auto" w:sz="4" w:space="0"/>
        <w:left w:val="single" w:color="auto" w:sz="4" w:space="0"/>
        <w:right w:val="single" w:color="auto" w:sz="4" w:space="0"/>
      </w:pBdr>
      <w:shd w:val="clear" w:color="000000" w:fill="AEAAAA"/>
      <w:spacing w:before="100" w:beforeAutospacing="1" w:after="100" w:afterAutospacing="1"/>
      <w:jc w:val="center"/>
    </w:pPr>
    <w:rPr>
      <w:rFonts w:ascii="方正仿宋_GBK" w:hAnsi="方正仿宋_GBK" w:cs="方正仿宋_GBK"/>
      <w:b/>
      <w:bCs/>
      <w:kern w:val="0"/>
      <w:sz w:val="20"/>
      <w:szCs w:val="20"/>
    </w:rPr>
  </w:style>
  <w:style w:type="paragraph" w:customStyle="1" w:styleId="42">
    <w:name w:val="xl7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4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44">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方正仿宋_GBK" w:hAnsi="方正仿宋_GBK" w:cs="方正仿宋_GBK"/>
      <w:kern w:val="0"/>
      <w:sz w:val="20"/>
      <w:szCs w:val="20"/>
    </w:rPr>
  </w:style>
  <w:style w:type="paragraph" w:customStyle="1" w:styleId="4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color w:val="000000"/>
      <w:kern w:val="0"/>
      <w:sz w:val="20"/>
      <w:szCs w:val="20"/>
    </w:rPr>
  </w:style>
  <w:style w:type="paragraph" w:customStyle="1" w:styleId="4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color w:val="000000"/>
      <w:kern w:val="0"/>
      <w:sz w:val="20"/>
      <w:szCs w:val="20"/>
    </w:rPr>
  </w:style>
  <w:style w:type="paragraph" w:customStyle="1" w:styleId="4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kern w:val="0"/>
      <w:sz w:val="20"/>
      <w:szCs w:val="20"/>
    </w:rPr>
  </w:style>
  <w:style w:type="paragraph" w:customStyle="1" w:styleId="4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color w:val="000000"/>
      <w:kern w:val="0"/>
      <w:sz w:val="20"/>
      <w:szCs w:val="20"/>
    </w:rPr>
  </w:style>
  <w:style w:type="paragraph" w:customStyle="1" w:styleId="49">
    <w:name w:val="xl78"/>
    <w:basedOn w:val="1"/>
    <w:qFormat/>
    <w:uiPriority w:val="0"/>
    <w:pPr>
      <w:widowControl/>
      <w:pBdr>
        <w:top w:val="single" w:color="auto" w:sz="4" w:space="0"/>
        <w:left w:val="single" w:color="auto" w:sz="4" w:space="0"/>
      </w:pBdr>
      <w:shd w:val="clear" w:color="000000" w:fill="AEAAAA"/>
      <w:spacing w:before="100" w:beforeAutospacing="1" w:after="100" w:afterAutospacing="1"/>
      <w:jc w:val="center"/>
    </w:pPr>
    <w:rPr>
      <w:rFonts w:ascii="方正仿宋_GBK" w:hAnsi="方正仿宋_GBK" w:cs="方正仿宋_GBK"/>
      <w:b/>
      <w:bCs/>
      <w:kern w:val="0"/>
      <w:sz w:val="20"/>
      <w:szCs w:val="20"/>
    </w:rPr>
  </w:style>
  <w:style w:type="paragraph" w:customStyle="1" w:styleId="50">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5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kern w:val="0"/>
      <w:szCs w:val="21"/>
    </w:rPr>
  </w:style>
  <w:style w:type="paragraph" w:customStyle="1" w:styleId="5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color w:val="000000"/>
      <w:kern w:val="0"/>
      <w:szCs w:val="21"/>
    </w:rPr>
  </w:style>
  <w:style w:type="paragraph" w:customStyle="1" w:styleId="5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kern w:val="0"/>
      <w:szCs w:val="21"/>
    </w:rPr>
  </w:style>
  <w:style w:type="paragraph" w:customStyle="1" w:styleId="54">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kern w:val="0"/>
      <w:sz w:val="20"/>
      <w:szCs w:val="20"/>
    </w:rPr>
  </w:style>
  <w:style w:type="paragraph" w:customStyle="1" w:styleId="55">
    <w:name w:val="xl84"/>
    <w:basedOn w:val="1"/>
    <w:qFormat/>
    <w:uiPriority w:val="0"/>
    <w:pPr>
      <w:widowControl/>
      <w:pBdr>
        <w:top w:val="single" w:color="auto" w:sz="4" w:space="0"/>
      </w:pBdr>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56">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kern w:val="0"/>
      <w:sz w:val="16"/>
      <w:szCs w:val="16"/>
    </w:rPr>
  </w:style>
  <w:style w:type="paragraph" w:customStyle="1" w:styleId="57">
    <w:name w:val="xl86"/>
    <w:basedOn w:val="1"/>
    <w:qFormat/>
    <w:uiPriority w:val="0"/>
    <w:pPr>
      <w:widowControl/>
      <w:shd w:val="clear" w:color="000000" w:fill="FFFF00"/>
      <w:spacing w:before="100" w:beforeAutospacing="1" w:after="100" w:afterAutospacing="1"/>
      <w:jc w:val="left"/>
    </w:pPr>
    <w:rPr>
      <w:rFonts w:ascii="宋体" w:hAnsi="宋体" w:eastAsia="宋体" w:cs="宋体"/>
      <w:kern w:val="0"/>
      <w:sz w:val="24"/>
    </w:rPr>
  </w:style>
  <w:style w:type="paragraph" w:customStyle="1" w:styleId="58">
    <w:name w:val="xl87"/>
    <w:basedOn w:val="1"/>
    <w:qFormat/>
    <w:uiPriority w:val="0"/>
    <w:pPr>
      <w:widowControl/>
      <w:shd w:val="clear" w:color="000000" w:fill="FFFFFF"/>
      <w:spacing w:before="100" w:beforeAutospacing="1" w:after="100" w:afterAutospacing="1"/>
      <w:jc w:val="left"/>
    </w:pPr>
    <w:rPr>
      <w:rFonts w:ascii="宋体" w:hAnsi="宋体" w:eastAsia="宋体" w:cs="宋体"/>
      <w:kern w:val="0"/>
      <w:sz w:val="24"/>
    </w:rPr>
  </w:style>
  <w:style w:type="paragraph" w:customStyle="1" w:styleId="5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eastAsia="宋体" w:cs="Times New Roman"/>
      <w:kern w:val="0"/>
      <w:sz w:val="20"/>
      <w:szCs w:val="20"/>
    </w:rPr>
  </w:style>
  <w:style w:type="paragraph" w:customStyle="1" w:styleId="60">
    <w:name w:val="xl8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方正仿宋_GBK" w:hAnsi="方正仿宋_GBK" w:cs="方正仿宋_GBK"/>
      <w:b/>
      <w:bCs/>
      <w:kern w:val="0"/>
      <w:sz w:val="20"/>
      <w:szCs w:val="20"/>
    </w:rPr>
  </w:style>
  <w:style w:type="paragraph" w:customStyle="1" w:styleId="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b/>
      <w:bCs/>
      <w:kern w:val="0"/>
      <w:sz w:val="20"/>
      <w:szCs w:val="20"/>
    </w:rPr>
  </w:style>
  <w:style w:type="paragraph" w:customStyle="1" w:styleId="62">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方正仿宋_GBK" w:hAnsi="方正仿宋_GBK" w:cs="方正仿宋_GBK"/>
      <w:kern w:val="0"/>
      <w:sz w:val="20"/>
      <w:szCs w:val="20"/>
    </w:rPr>
  </w:style>
  <w:style w:type="paragraph" w:customStyle="1" w:styleId="63">
    <w:name w:val="xl9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kern w:val="0"/>
      <w:sz w:val="20"/>
      <w:szCs w:val="20"/>
    </w:rPr>
  </w:style>
  <w:style w:type="paragraph" w:customStyle="1" w:styleId="64">
    <w:name w:val="xl93"/>
    <w:basedOn w:val="1"/>
    <w:qFormat/>
    <w:uiPriority w:val="0"/>
    <w:pPr>
      <w:widowControl/>
      <w:spacing w:before="100" w:beforeAutospacing="1" w:after="100" w:afterAutospacing="1"/>
      <w:jc w:val="left"/>
    </w:pPr>
    <w:rPr>
      <w:rFonts w:ascii="宋体" w:hAnsi="宋体" w:eastAsia="宋体" w:cs="宋体"/>
      <w:b/>
      <w:bCs/>
      <w:kern w:val="0"/>
      <w:sz w:val="24"/>
    </w:rPr>
  </w:style>
  <w:style w:type="paragraph" w:customStyle="1" w:styleId="65">
    <w:name w:val="xl9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b/>
      <w:bCs/>
      <w:kern w:val="0"/>
      <w:sz w:val="20"/>
      <w:szCs w:val="20"/>
    </w:rPr>
  </w:style>
  <w:style w:type="paragraph" w:customStyle="1" w:styleId="66">
    <w:name w:val="xl9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方正仿宋_GBK" w:hAnsi="方正仿宋_GBK" w:cs="方正仿宋_GBK"/>
      <w:b/>
      <w:bCs/>
      <w:kern w:val="0"/>
      <w:sz w:val="20"/>
      <w:szCs w:val="20"/>
    </w:rPr>
  </w:style>
  <w:style w:type="paragraph" w:customStyle="1" w:styleId="67">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b/>
      <w:bCs/>
      <w:kern w:val="0"/>
      <w:sz w:val="20"/>
      <w:szCs w:val="20"/>
    </w:rPr>
  </w:style>
  <w:style w:type="paragraph" w:customStyle="1" w:styleId="68">
    <w:name w:val="xl97"/>
    <w:basedOn w:val="1"/>
    <w:qFormat/>
    <w:uiPriority w:val="0"/>
    <w:pPr>
      <w:widowControl/>
      <w:spacing w:before="100" w:beforeAutospacing="1" w:after="100" w:afterAutospacing="1"/>
      <w:jc w:val="center"/>
    </w:pPr>
    <w:rPr>
      <w:rFonts w:ascii="方正仿宋_GBK" w:hAnsi="方正仿宋_GBK" w:cs="方正仿宋_GBK"/>
      <w:kern w:val="0"/>
      <w:sz w:val="36"/>
      <w:szCs w:val="36"/>
    </w:rPr>
  </w:style>
  <w:style w:type="paragraph" w:customStyle="1" w:styleId="69">
    <w:name w:val="xl98"/>
    <w:basedOn w:val="1"/>
    <w:qFormat/>
    <w:uiPriority w:val="0"/>
    <w:pPr>
      <w:widowControl/>
      <w:spacing w:before="100" w:beforeAutospacing="1" w:after="100" w:afterAutospacing="1"/>
      <w:jc w:val="center"/>
    </w:pPr>
    <w:rPr>
      <w:rFonts w:ascii="方正仿宋_GBK" w:hAnsi="方正仿宋_GBK" w:cs="方正仿宋_GBK"/>
      <w:kern w:val="0"/>
      <w:sz w:val="36"/>
      <w:szCs w:val="36"/>
    </w:rPr>
  </w:style>
  <w:style w:type="paragraph" w:customStyle="1" w:styleId="70">
    <w:name w:val="xl99"/>
    <w:basedOn w:val="1"/>
    <w:qFormat/>
    <w:uiPriority w:val="0"/>
    <w:pPr>
      <w:widowControl/>
      <w:pBdr>
        <w:top w:val="single" w:color="auto" w:sz="4" w:space="0"/>
        <w:left w:val="single" w:color="auto" w:sz="4" w:space="0"/>
        <w:bottom w:val="single" w:color="auto" w:sz="4" w:space="0"/>
      </w:pBdr>
      <w:shd w:val="clear" w:color="000000" w:fill="E2EFDA"/>
      <w:spacing w:before="100" w:beforeAutospacing="1" w:after="100" w:afterAutospacing="1"/>
      <w:jc w:val="center"/>
    </w:pPr>
    <w:rPr>
      <w:rFonts w:ascii="方正仿宋_GBK" w:hAnsi="方正仿宋_GBK" w:cs="方正仿宋_GBK"/>
      <w:b/>
      <w:bCs/>
      <w:kern w:val="0"/>
      <w:sz w:val="28"/>
      <w:szCs w:val="28"/>
    </w:rPr>
  </w:style>
  <w:style w:type="paragraph" w:customStyle="1" w:styleId="71">
    <w:name w:val="xl100"/>
    <w:basedOn w:val="1"/>
    <w:qFormat/>
    <w:uiPriority w:val="0"/>
    <w:pPr>
      <w:widowControl/>
      <w:pBdr>
        <w:top w:val="single" w:color="auto" w:sz="4" w:space="0"/>
        <w:bottom w:val="single" w:color="auto" w:sz="4" w:space="0"/>
      </w:pBdr>
      <w:shd w:val="clear" w:color="000000" w:fill="E2EFDA"/>
      <w:spacing w:before="100" w:beforeAutospacing="1" w:after="100" w:afterAutospacing="1"/>
      <w:jc w:val="center"/>
    </w:pPr>
    <w:rPr>
      <w:rFonts w:ascii="方正仿宋_GBK" w:hAnsi="方正仿宋_GBK" w:cs="方正仿宋_GBK"/>
      <w:b/>
      <w:bCs/>
      <w:kern w:val="0"/>
      <w:sz w:val="28"/>
      <w:szCs w:val="28"/>
    </w:rPr>
  </w:style>
  <w:style w:type="paragraph" w:customStyle="1" w:styleId="72">
    <w:name w:val="xl101"/>
    <w:basedOn w:val="1"/>
    <w:qFormat/>
    <w:uiPriority w:val="0"/>
    <w:pPr>
      <w:widowControl/>
      <w:pBdr>
        <w:top w:val="single" w:color="auto" w:sz="4" w:space="0"/>
        <w:bottom w:val="single" w:color="auto" w:sz="4" w:space="0"/>
      </w:pBdr>
      <w:shd w:val="clear" w:color="000000" w:fill="E2EFDA"/>
      <w:spacing w:before="100" w:beforeAutospacing="1" w:after="100" w:afterAutospacing="1"/>
      <w:jc w:val="center"/>
    </w:pPr>
    <w:rPr>
      <w:rFonts w:ascii="方正仿宋_GBK" w:hAnsi="方正仿宋_GBK" w:cs="方正仿宋_GBK"/>
      <w:b/>
      <w:bCs/>
      <w:kern w:val="0"/>
      <w:sz w:val="28"/>
      <w:szCs w:val="28"/>
    </w:rPr>
  </w:style>
  <w:style w:type="paragraph" w:customStyle="1" w:styleId="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color w:val="000000"/>
      <w:kern w:val="0"/>
      <w:sz w:val="20"/>
      <w:szCs w:val="20"/>
    </w:rPr>
  </w:style>
  <w:style w:type="paragraph" w:customStyle="1" w:styleId="7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方正仿宋_GBK" w:cs="方正仿宋_GBK"/>
      <w:kern w:val="0"/>
      <w:sz w:val="20"/>
      <w:szCs w:val="20"/>
    </w:rPr>
  </w:style>
  <w:style w:type="paragraph" w:customStyle="1" w:styleId="75">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方正仿宋_GBK" w:hAnsi="方正仿宋_GBK" w:cs="方正仿宋_GBK"/>
      <w:kern w:val="0"/>
      <w:sz w:val="20"/>
      <w:szCs w:val="20"/>
    </w:rPr>
  </w:style>
  <w:style w:type="character" w:customStyle="1" w:styleId="76">
    <w:name w:val="未处理的提及1"/>
    <w:basedOn w:val="21"/>
    <w:unhideWhenUsed/>
    <w:qFormat/>
    <w:uiPriority w:val="99"/>
    <w:rPr>
      <w:color w:val="605E5C"/>
      <w:shd w:val="clear" w:color="auto" w:fill="E1DFDD"/>
    </w:rPr>
  </w:style>
  <w:style w:type="character" w:customStyle="1" w:styleId="77">
    <w:name w:val="批注文字 字符"/>
    <w:basedOn w:val="21"/>
    <w:link w:val="7"/>
    <w:semiHidden/>
    <w:qFormat/>
    <w:uiPriority w:val="99"/>
    <w:rPr>
      <w:szCs w:val="24"/>
    </w:rPr>
  </w:style>
  <w:style w:type="character" w:customStyle="1" w:styleId="78">
    <w:name w:val="批注主题 字符"/>
    <w:basedOn w:val="77"/>
    <w:link w:val="16"/>
    <w:semiHidden/>
    <w:qFormat/>
    <w:uiPriority w:val="99"/>
    <w:rPr>
      <w:b/>
      <w:bCs/>
      <w:szCs w:val="24"/>
    </w:rPr>
  </w:style>
  <w:style w:type="character" w:customStyle="1" w:styleId="79">
    <w:name w:val="批注框文本 字符"/>
    <w:basedOn w:val="21"/>
    <w:link w:val="10"/>
    <w:semiHidden/>
    <w:qFormat/>
    <w:uiPriority w:val="99"/>
    <w:rPr>
      <w:sz w:val="18"/>
      <w:szCs w:val="18"/>
    </w:rPr>
  </w:style>
  <w:style w:type="character" w:customStyle="1" w:styleId="80">
    <w:name w:val="正文文本 字符"/>
    <w:basedOn w:val="21"/>
    <w:link w:val="8"/>
    <w:qFormat/>
    <w:uiPriority w:val="0"/>
    <w:rPr>
      <w:szCs w:val="24"/>
    </w:rPr>
  </w:style>
  <w:style w:type="character" w:customStyle="1" w:styleId="81">
    <w:name w:val="正文文本首行缩进 字符"/>
    <w:basedOn w:val="80"/>
    <w:link w:val="17"/>
    <w:qFormat/>
    <w:uiPriority w:val="99"/>
    <w:rPr>
      <w:rFonts w:ascii="宋体" w:hAnsi="宋体" w:eastAsia="宋体" w:cs="Times New Roman"/>
      <w:sz w:val="24"/>
      <w:szCs w:val="21"/>
    </w:rPr>
  </w:style>
  <w:style w:type="paragraph" w:customStyle="1" w:styleId="82">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styleId="83">
    <w:name w:val="List Paragraph"/>
    <w:basedOn w:val="1"/>
    <w:qFormat/>
    <w:uiPriority w:val="99"/>
    <w:pPr>
      <w:ind w:firstLine="420"/>
    </w:pPr>
  </w:style>
  <w:style w:type="paragraph" w:customStyle="1" w:styleId="84">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85">
    <w:name w:val="正文文本缩进 字符"/>
    <w:basedOn w:val="21"/>
    <w:link w:val="3"/>
    <w:semiHidden/>
    <w:qFormat/>
    <w:uiPriority w:val="99"/>
    <w:rPr>
      <w:kern w:val="2"/>
      <w:sz w:val="21"/>
      <w:szCs w:val="24"/>
    </w:rPr>
  </w:style>
  <w:style w:type="character" w:customStyle="1" w:styleId="86">
    <w:name w:val="正文文本首行缩进 2 字符"/>
    <w:basedOn w:val="85"/>
    <w:link w:val="18"/>
    <w:qFormat/>
    <w:uiPriority w:val="0"/>
    <w:rPr>
      <w:rFonts w:ascii="Calibri" w:hAnsi="Calibri" w:eastAsia="宋体" w:cs="Times New Roman"/>
      <w:kern w:val="2"/>
      <w:sz w:val="24"/>
      <w:szCs w:val="24"/>
    </w:rPr>
  </w:style>
  <w:style w:type="character" w:customStyle="1" w:styleId="87">
    <w:name w:val="标题 3 字符"/>
    <w:basedOn w:val="21"/>
    <w:link w:val="6"/>
    <w:semiHidden/>
    <w:qFormat/>
    <w:uiPriority w:val="9"/>
    <w:rPr>
      <w:b/>
      <w:bCs/>
      <w:kern w:val="2"/>
      <w:sz w:val="32"/>
      <w:szCs w:val="32"/>
    </w:rPr>
  </w:style>
  <w:style w:type="paragraph" w:customStyle="1" w:styleId="88">
    <w:name w:val="TOC 标题1"/>
    <w:basedOn w:val="4"/>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2F5597" w:themeColor="accent1" w:themeShade="BF"/>
      <w:kern w:val="0"/>
    </w:rPr>
  </w:style>
  <w:style w:type="paragraph" w:customStyle="1" w:styleId="89">
    <w:name w:val="图表题名"/>
    <w:autoRedefine/>
    <w:qFormat/>
    <w:uiPriority w:val="0"/>
    <w:pPr>
      <w:spacing w:after="120" w:line="500" w:lineRule="exact"/>
      <w:jc w:val="center"/>
    </w:pPr>
    <w:rPr>
      <w:rFonts w:ascii="Times New Roman" w:hAnsi="Times New Roman" w:eastAsia="仿宋_GB2312" w:cstheme="minorBidi"/>
      <w:b/>
      <w:kern w:val="2"/>
      <w:sz w:val="28"/>
      <w:szCs w:val="22"/>
      <w:lang w:val="en-US" w:eastAsia="zh-CN" w:bidi="ar-SA"/>
    </w:rPr>
  </w:style>
  <w:style w:type="paragraph" w:customStyle="1" w:styleId="90">
    <w:name w:val="图片"/>
    <w:basedOn w:val="1"/>
    <w:qFormat/>
    <w:uiPriority w:val="0"/>
    <w:pPr>
      <w:widowControl/>
      <w:tabs>
        <w:tab w:val="left" w:pos="2080"/>
        <w:tab w:val="left" w:pos="3310"/>
      </w:tabs>
      <w:spacing w:line="240" w:lineRule="auto"/>
      <w:ind w:firstLine="0" w:firstLineChars="0"/>
      <w:jc w:val="center"/>
    </w:pPr>
    <w:rPr>
      <w:rFonts w:cs="Times New Roman"/>
      <w:bCs/>
      <w:szCs w:val="32"/>
    </w:rPr>
  </w:style>
  <w:style w:type="paragraph" w:customStyle="1" w:styleId="91">
    <w:name w:val="表格首行"/>
    <w:basedOn w:val="1"/>
    <w:autoRedefine/>
    <w:qFormat/>
    <w:uiPriority w:val="0"/>
    <w:pPr>
      <w:spacing w:line="360" w:lineRule="exact"/>
      <w:ind w:firstLine="0" w:firstLineChars="0"/>
      <w:jc w:val="center"/>
    </w:pPr>
    <w:rPr>
      <w:b/>
      <w:sz w:val="24"/>
    </w:rPr>
  </w:style>
  <w:style w:type="character" w:customStyle="1" w:styleId="92">
    <w:name w:val="ds-markdown-cite"/>
    <w:basedOn w:val="21"/>
    <w:qFormat/>
    <w:uiPriority w:val="0"/>
  </w:style>
  <w:style w:type="table" w:customStyle="1" w:styleId="93">
    <w:name w:val="网格型2"/>
    <w:basedOn w:val="19"/>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4">
    <w:name w:val="标题 字符"/>
    <w:basedOn w:val="21"/>
    <w:link w:val="2"/>
    <w:qFormat/>
    <w:uiPriority w:val="10"/>
    <w:rPr>
      <w:rFonts w:ascii="Arial" w:hAnsi="Arial" w:eastAsia="宋体" w:cs="Times New Roman"/>
      <w:b/>
      <w:kern w:val="2"/>
      <w:sz w:val="32"/>
      <w:szCs w:val="22"/>
    </w:rPr>
  </w:style>
  <w:style w:type="character" w:customStyle="1" w:styleId="95">
    <w:name w:val="表格文字 字符"/>
    <w:basedOn w:val="21"/>
    <w:link w:val="26"/>
    <w:qFormat/>
    <w:uiPriority w:val="0"/>
    <w:rPr>
      <w:rFonts w:ascii="Times New Roman" w:hAnsi="Times New Roman" w:eastAsia="方正仿宋_GBK" w:cs="宋体"/>
      <w:spacing w:val="6"/>
      <w:kern w:val="2"/>
      <w:sz w:val="24"/>
      <w:szCs w:val="21"/>
      <w:lang w:eastAsia="en-US"/>
    </w:rPr>
  </w:style>
  <w:style w:type="character" w:customStyle="1" w:styleId="96">
    <w:name w:val="标题 2 字符"/>
    <w:basedOn w:val="21"/>
    <w:link w:val="5"/>
    <w:semiHidden/>
    <w:qFormat/>
    <w:uiPriority w:val="9"/>
    <w:rPr>
      <w:rFonts w:asciiTheme="majorHAnsi" w:hAnsiTheme="majorHAnsi" w:eastAsiaTheme="majorEastAsia" w:cstheme="majorBidi"/>
      <w:b/>
      <w:bCs/>
      <w:kern w:val="2"/>
      <w:sz w:val="32"/>
      <w:szCs w:val="32"/>
    </w:rPr>
  </w:style>
  <w:style w:type="table" w:customStyle="1" w:styleId="97">
    <w:name w:val="网格型1"/>
    <w:basedOn w:val="19"/>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3"/>
    <w:basedOn w:val="19"/>
    <w:qFormat/>
    <w:uiPriority w:val="39"/>
    <w:rPr>
      <w:rFonts w:ascii="等线" w:hAnsi="等线" w:eastAsia="等线"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4"/>
    <w:basedOn w:val="19"/>
    <w:qFormat/>
    <w:uiPriority w:val="39"/>
    <w:rPr>
      <w:rFonts w:ascii="等线" w:hAnsi="等线" w:eastAsia="等线"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0">
    <w:name w:val="标准文件_段"/>
    <w:link w:val="10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01">
    <w:name w:val="标准文件_段 Char"/>
    <w:link w:val="100"/>
    <w:qFormat/>
    <w:uiPriority w:val="0"/>
    <w:rPr>
      <w:rFonts w:ascii="宋体" w:hAnsi="Times New Roman" w:eastAsia="宋体" w:cs="Times New Roman"/>
      <w:sz w:val="21"/>
    </w:rPr>
  </w:style>
  <w:style w:type="paragraph" w:customStyle="1" w:styleId="102">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103">
    <w:name w:val="样式 标题 1标书1h1H1L1bocSection Head1st levell1H11H12H13H..."/>
    <w:basedOn w:val="4"/>
    <w:qFormat/>
    <w:uiPriority w:val="0"/>
    <w:pPr>
      <w:keepNext w:val="0"/>
      <w:keepLines w:val="0"/>
      <w:spacing w:before="0" w:after="0" w:line="300" w:lineRule="auto"/>
      <w:jc w:val="center"/>
    </w:pPr>
    <w:rPr>
      <w:rFonts w:eastAsia="方正小标宋_GBK" w:cs="宋体"/>
      <w:b w:val="0"/>
      <w:bCs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7F61-D6FD-44EB-92A9-E671BAFADE4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45</Pages>
  <Words>9468</Words>
  <Characters>9844</Characters>
  <Lines>223</Lines>
  <Paragraphs>62</Paragraphs>
  <TotalTime>6</TotalTime>
  <ScaleCrop>false</ScaleCrop>
  <LinksUpToDate>false</LinksUpToDate>
  <CharactersWithSpaces>9879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2025-06-05T08:15:00Z</dcterms:created>
  <dc:creator>zhou junwei</dc:creator>
  <cp:lastModifiedBy>流传</cp:lastModifiedBy>
  <cp:lastPrinted>2024-06-28T07:14:00Z</cp:lastPrinted>
  <dcterms:modified xsi:type="dcterms:W3CDTF">2025-06-12T09:10:16Z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55B63E67714C4575B153568639985CC5_13</vt:lpwstr>
  </property>
  <property fmtid="{D5CDD505-2E9C-101B-9397-08002B2CF9AE}" pid="4" name="KSOTemplateDocerSaveRecord">
    <vt:lpwstr>eyJoZGlkIjoiNGZmZWQ0ZTZkN2NmNzRjY2UzODBjOGZmNmQ3NmY4ZTUiLCJ1c2VySWQiOiIzNTEyNDM1MDAifQ==</vt:lpwstr>
  </property>
</Properties>
</file>