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南京市202</w:t>
      </w:r>
      <w:r>
        <w:rPr>
          <w:rFonts w:hint="default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2</w:t>
      </w:r>
      <w:r>
        <w:rPr>
          <w:rFonts w:hint="eastAsia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年度环境统计信息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年度环境统计由工业源、农业源、生活源、移动源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val="en-US" w:eastAsia="zh-CN" w:bidi="ar"/>
        </w:rPr>
        <w:t>以及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集中式治理设施五部分组成。其中，列入环境统计的重点工业源有7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30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家；列入集中式治理设施的各类污水处理厂7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家，生活垃圾集中处置厂（场）4家，危险废物（医疗废物）集中处理厂1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家。</w:t>
      </w:r>
    </w:p>
    <w:p>
      <w:pPr>
        <w:ind w:firstLine="60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根据国家环统口径核算，2022年全市废气主要污染物二氧化硫排放量为6486.738吨，氮氧化物排放量为55653.47吨，挥发性有机物排放量为40318.96吨，颗粒物排放量为11996.25吨；废水主要污染物化学需氧量排放量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为19782.91吨，氨氮排放量为732.75吨，总氮排放量为9394.09吨，总磷排放量为175.52吨。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MDYzNTIzOTAwZWEwMTQzY2ZmOGI0MTc3YTMyNTQifQ=="/>
  </w:docVars>
  <w:rsids>
    <w:rsidRoot w:val="00BE61F7"/>
    <w:rsid w:val="00087F91"/>
    <w:rsid w:val="00103C44"/>
    <w:rsid w:val="0031597F"/>
    <w:rsid w:val="004D015C"/>
    <w:rsid w:val="00600D86"/>
    <w:rsid w:val="00827FB4"/>
    <w:rsid w:val="0087277B"/>
    <w:rsid w:val="008A0F90"/>
    <w:rsid w:val="00BE61F7"/>
    <w:rsid w:val="01EA4250"/>
    <w:rsid w:val="0A906654"/>
    <w:rsid w:val="0AF25186"/>
    <w:rsid w:val="11B528A7"/>
    <w:rsid w:val="5297291F"/>
    <w:rsid w:val="53DF072C"/>
    <w:rsid w:val="5A9B1124"/>
    <w:rsid w:val="724C2FD8"/>
    <w:rsid w:val="736600CA"/>
    <w:rsid w:val="7D5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2023-10-07T09:14:00Z</dcterms:created>
  <dc:creator>同宁环保-笔记本-6</dc:creator>
  <cp:lastModifiedBy>小倪</cp:lastModifiedBy>
  <dcterms:modified xsi:type="dcterms:W3CDTF">2023-10-10T07:05:26Z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1102C52187D14BBEAA21349DEE5DDB90_13</vt:lpwstr>
  </property>
</Properties>
</file>